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E86F9" w14:textId="5741A121" w:rsidR="0054559D" w:rsidRPr="00C36D62" w:rsidRDefault="00C36D62" w:rsidP="005F1632">
      <w:pPr>
        <w:spacing w:after="120" w:line="240" w:lineRule="auto"/>
        <w:ind w:left="174" w:right="0"/>
        <w:jc w:val="center"/>
        <w:rPr>
          <w:rFonts w:ascii="Marianne" w:hAnsi="Marianne"/>
          <w:color w:val="auto"/>
          <w:sz w:val="24"/>
          <w:szCs w:val="24"/>
          <w:u w:val="single"/>
        </w:rPr>
      </w:pPr>
      <w:r w:rsidRPr="00C36D62">
        <w:rPr>
          <w:rFonts w:ascii="Marianne" w:hAnsi="Marianne"/>
          <w:color w:val="auto"/>
          <w:sz w:val="24"/>
          <w:szCs w:val="24"/>
          <w:u w:val="single"/>
        </w:rPr>
        <w:t>L’OCCUPATION DU DOMAINE PUBLIC</w:t>
      </w:r>
    </w:p>
    <w:p w14:paraId="39537B3C" w14:textId="6E296526" w:rsidR="00C36D62" w:rsidRDefault="00C36D62" w:rsidP="005F1632">
      <w:pPr>
        <w:spacing w:after="120" w:line="240" w:lineRule="auto"/>
        <w:ind w:left="174" w:right="0"/>
        <w:rPr>
          <w:rFonts w:ascii="Marianne" w:hAnsi="Marianne"/>
          <w:color w:val="auto"/>
          <w:sz w:val="20"/>
          <w:szCs w:val="20"/>
        </w:rPr>
      </w:pPr>
    </w:p>
    <w:p w14:paraId="451A6627" w14:textId="4A2BB783" w:rsidR="00FB30E5" w:rsidRDefault="00FB30E5" w:rsidP="00FB30E5">
      <w:pPr>
        <w:spacing w:after="120" w:line="240" w:lineRule="auto"/>
        <w:ind w:left="174" w:right="0" w:firstLine="252"/>
        <w:rPr>
          <w:rFonts w:ascii="Marianne" w:hAnsi="Marianne"/>
          <w:color w:val="auto"/>
          <w:sz w:val="20"/>
          <w:szCs w:val="20"/>
        </w:rPr>
      </w:pPr>
      <w:r>
        <w:rPr>
          <w:rFonts w:ascii="Marianne" w:hAnsi="Marianne"/>
          <w:color w:val="auto"/>
          <w:sz w:val="20"/>
          <w:szCs w:val="20"/>
        </w:rPr>
        <w:t xml:space="preserve">La présente fiche a pour objet de préciser, après </w:t>
      </w:r>
      <w:r w:rsidR="00773438">
        <w:rPr>
          <w:rFonts w:ascii="Marianne" w:hAnsi="Marianne"/>
          <w:color w:val="auto"/>
          <w:sz w:val="20"/>
          <w:szCs w:val="20"/>
        </w:rPr>
        <w:t xml:space="preserve">avoir </w:t>
      </w:r>
      <w:r>
        <w:rPr>
          <w:rFonts w:ascii="Marianne" w:hAnsi="Marianne"/>
          <w:color w:val="auto"/>
          <w:sz w:val="20"/>
          <w:szCs w:val="20"/>
        </w:rPr>
        <w:t>rappelé les contours du domaine public des personnes publiques ainsi que les conditions de son occupation</w:t>
      </w:r>
      <w:r w:rsidR="00633992">
        <w:rPr>
          <w:rFonts w:ascii="Marianne" w:hAnsi="Marianne"/>
          <w:color w:val="auto"/>
          <w:sz w:val="20"/>
          <w:szCs w:val="20"/>
        </w:rPr>
        <w:t xml:space="preserve"> (A)</w:t>
      </w:r>
      <w:r>
        <w:rPr>
          <w:rFonts w:ascii="Marianne" w:hAnsi="Marianne"/>
          <w:color w:val="auto"/>
          <w:sz w:val="20"/>
          <w:szCs w:val="20"/>
        </w:rPr>
        <w:t>, les différentes voies juridiques ouvertes aux maires, ou présidents d’EPCI, afin de faire évacuer les occupants sans droit ni titre du domaine public</w:t>
      </w:r>
      <w:r w:rsidR="00633992">
        <w:rPr>
          <w:rFonts w:ascii="Marianne" w:hAnsi="Marianne"/>
          <w:color w:val="auto"/>
          <w:sz w:val="20"/>
          <w:szCs w:val="20"/>
        </w:rPr>
        <w:t xml:space="preserve"> (B). </w:t>
      </w:r>
      <w:r>
        <w:rPr>
          <w:rFonts w:ascii="Marianne" w:hAnsi="Marianne"/>
          <w:color w:val="auto"/>
          <w:sz w:val="20"/>
          <w:szCs w:val="20"/>
        </w:rPr>
        <w:t xml:space="preserve">Des annexes récapitulatives sont jointes en fin de document. </w:t>
      </w:r>
    </w:p>
    <w:p w14:paraId="12B302BA" w14:textId="15FEA43F" w:rsidR="00FB30E5" w:rsidRDefault="00FB30E5" w:rsidP="005F1632">
      <w:pPr>
        <w:spacing w:after="120" w:line="240" w:lineRule="auto"/>
        <w:ind w:left="174" w:right="0"/>
        <w:rPr>
          <w:rFonts w:ascii="Marianne" w:hAnsi="Marianne"/>
          <w:color w:val="auto"/>
          <w:sz w:val="20"/>
          <w:szCs w:val="20"/>
        </w:rPr>
      </w:pPr>
    </w:p>
    <w:p w14:paraId="1A951EAA" w14:textId="3344A13E" w:rsidR="00C36D62" w:rsidRPr="00C36D62" w:rsidRDefault="00633992" w:rsidP="005F1632">
      <w:pPr>
        <w:spacing w:after="120" w:line="240" w:lineRule="auto"/>
        <w:ind w:left="174" w:right="0" w:firstLine="393"/>
        <w:rPr>
          <w:rFonts w:ascii="Marianne" w:hAnsi="Marianne"/>
          <w:b/>
          <w:bCs/>
          <w:color w:val="auto"/>
        </w:rPr>
      </w:pPr>
      <w:r>
        <w:rPr>
          <w:rFonts w:ascii="Marianne" w:hAnsi="Marianne"/>
          <w:b/>
          <w:bCs/>
          <w:color w:val="auto"/>
        </w:rPr>
        <w:t xml:space="preserve">A - </w:t>
      </w:r>
      <w:r w:rsidR="00C36D62" w:rsidRPr="00C36D62">
        <w:rPr>
          <w:rFonts w:ascii="Marianne" w:hAnsi="Marianne"/>
          <w:b/>
          <w:bCs/>
          <w:color w:val="auto"/>
        </w:rPr>
        <w:t>Considérations générales sur l</w:t>
      </w:r>
      <w:r w:rsidR="008A2E75">
        <w:rPr>
          <w:rFonts w:ascii="Marianne" w:hAnsi="Marianne"/>
          <w:b/>
          <w:bCs/>
          <w:color w:val="auto"/>
        </w:rPr>
        <w:t>’occupation du</w:t>
      </w:r>
      <w:r w:rsidR="00C36D62" w:rsidRPr="00C36D62">
        <w:rPr>
          <w:rFonts w:ascii="Marianne" w:hAnsi="Marianne"/>
          <w:b/>
          <w:bCs/>
          <w:color w:val="auto"/>
        </w:rPr>
        <w:t xml:space="preserve"> domaine public</w:t>
      </w:r>
    </w:p>
    <w:p w14:paraId="04D690EB" w14:textId="10D65375" w:rsidR="00C36D62" w:rsidRPr="00C36D62" w:rsidRDefault="00C36D62" w:rsidP="005F1632">
      <w:pPr>
        <w:pStyle w:val="Paragraphedeliste"/>
        <w:numPr>
          <w:ilvl w:val="0"/>
          <w:numId w:val="5"/>
        </w:numPr>
        <w:spacing w:after="120" w:line="240" w:lineRule="auto"/>
        <w:ind w:left="567" w:right="0" w:firstLine="393"/>
        <w:contextualSpacing w:val="0"/>
        <w:rPr>
          <w:rFonts w:ascii="Marianne" w:hAnsi="Marianne" w:cstheme="minorHAnsi"/>
          <w:b/>
          <w:bCs/>
          <w:color w:val="auto"/>
          <w:sz w:val="20"/>
          <w:szCs w:val="20"/>
          <w:shd w:val="clear" w:color="auto" w:fill="FFFFFF"/>
        </w:rPr>
      </w:pPr>
      <w:r w:rsidRPr="00C36D62">
        <w:rPr>
          <w:rFonts w:ascii="Marianne" w:hAnsi="Marianne" w:cstheme="minorHAnsi"/>
          <w:b/>
          <w:bCs/>
          <w:color w:val="auto"/>
          <w:sz w:val="20"/>
          <w:szCs w:val="20"/>
          <w:shd w:val="clear" w:color="auto" w:fill="FFFFFF"/>
        </w:rPr>
        <w:t xml:space="preserve">Définition </w:t>
      </w:r>
    </w:p>
    <w:p w14:paraId="4DF93DE1" w14:textId="48A3CAB8" w:rsidR="00C36D62" w:rsidRDefault="00C36D62" w:rsidP="005F1632">
      <w:pPr>
        <w:spacing w:after="120" w:line="240" w:lineRule="auto"/>
        <w:ind w:left="0" w:right="0" w:firstLine="393"/>
        <w:rPr>
          <w:rFonts w:ascii="Marianne" w:hAnsi="Marianne" w:cstheme="minorHAnsi"/>
          <w:color w:val="auto"/>
          <w:sz w:val="20"/>
          <w:szCs w:val="20"/>
          <w:shd w:val="clear" w:color="auto" w:fill="FFFFFF"/>
        </w:rPr>
      </w:pPr>
      <w:r w:rsidRPr="00C36D62">
        <w:rPr>
          <w:rFonts w:ascii="Marianne" w:hAnsi="Marianne" w:cstheme="minorHAnsi"/>
          <w:color w:val="auto"/>
          <w:sz w:val="20"/>
          <w:szCs w:val="20"/>
          <w:shd w:val="clear" w:color="auto" w:fill="FFFFFF"/>
        </w:rPr>
        <w:t xml:space="preserve">Le domaine public </w:t>
      </w:r>
      <w:r>
        <w:rPr>
          <w:rFonts w:ascii="Marianne" w:hAnsi="Marianne" w:cstheme="minorHAnsi"/>
          <w:color w:val="auto"/>
          <w:sz w:val="20"/>
          <w:szCs w:val="20"/>
          <w:shd w:val="clear" w:color="auto" w:fill="FFFFFF"/>
        </w:rPr>
        <w:t>d’un</w:t>
      </w:r>
      <w:r w:rsidR="002D66B4">
        <w:rPr>
          <w:rFonts w:ascii="Marianne" w:hAnsi="Marianne" w:cstheme="minorHAnsi"/>
          <w:color w:val="auto"/>
          <w:sz w:val="20"/>
          <w:szCs w:val="20"/>
          <w:shd w:val="clear" w:color="auto" w:fill="FFFFFF"/>
        </w:rPr>
        <w:t>e</w:t>
      </w:r>
      <w:r>
        <w:rPr>
          <w:rFonts w:ascii="Marianne" w:hAnsi="Marianne" w:cstheme="minorHAnsi"/>
          <w:color w:val="auto"/>
          <w:sz w:val="20"/>
          <w:szCs w:val="20"/>
          <w:shd w:val="clear" w:color="auto" w:fill="FFFFFF"/>
        </w:rPr>
        <w:t xml:space="preserve"> personne publique (Etat, collectivités territoriales, établissements publics) est constitué des « </w:t>
      </w:r>
      <w:r w:rsidRPr="00C36D62">
        <w:rPr>
          <w:rFonts w:ascii="Marianne" w:hAnsi="Marianne" w:cstheme="minorHAnsi"/>
          <w:color w:val="auto"/>
          <w:sz w:val="20"/>
          <w:szCs w:val="20"/>
          <w:shd w:val="clear" w:color="auto" w:fill="FFFFFF"/>
        </w:rPr>
        <w:t>biens lui appartenant qui sont soit affectés à l'usage direct du public, soit affectés à un service public pourvu qu'en ce cas ils fassent l'objet d'un aménagement indispensable à l'exécution des missions de ce service public</w:t>
      </w:r>
      <w:r>
        <w:rPr>
          <w:rFonts w:ascii="Marianne" w:hAnsi="Marianne" w:cstheme="minorHAnsi"/>
          <w:color w:val="auto"/>
          <w:sz w:val="20"/>
          <w:szCs w:val="20"/>
          <w:shd w:val="clear" w:color="auto" w:fill="FFFFFF"/>
        </w:rPr>
        <w:t xml:space="preserve"> » selon l’art. L2111-1 du Code général de la </w:t>
      </w:r>
      <w:r w:rsidR="007C0434">
        <w:rPr>
          <w:rFonts w:ascii="Marianne" w:hAnsi="Marianne" w:cstheme="minorHAnsi"/>
          <w:color w:val="auto"/>
          <w:sz w:val="20"/>
          <w:szCs w:val="20"/>
          <w:shd w:val="clear" w:color="auto" w:fill="FFFFFF"/>
        </w:rPr>
        <w:t>propriété</w:t>
      </w:r>
      <w:r>
        <w:rPr>
          <w:rFonts w:ascii="Marianne" w:hAnsi="Marianne" w:cstheme="minorHAnsi"/>
          <w:color w:val="auto"/>
          <w:sz w:val="20"/>
          <w:szCs w:val="20"/>
          <w:shd w:val="clear" w:color="auto" w:fill="FFFFFF"/>
        </w:rPr>
        <w:t xml:space="preserve"> des personnes publiques</w:t>
      </w:r>
      <w:r w:rsidR="007C0434">
        <w:rPr>
          <w:rFonts w:ascii="Marianne" w:hAnsi="Marianne" w:cstheme="minorHAnsi"/>
          <w:color w:val="auto"/>
          <w:sz w:val="20"/>
          <w:szCs w:val="20"/>
          <w:shd w:val="clear" w:color="auto" w:fill="FFFFFF"/>
        </w:rPr>
        <w:t xml:space="preserve"> (CG3P). </w:t>
      </w:r>
    </w:p>
    <w:p w14:paraId="32C34145" w14:textId="0B5C65C4" w:rsidR="00E03BC4" w:rsidRDefault="00E03BC4" w:rsidP="005F1632">
      <w:pPr>
        <w:spacing w:after="120" w:line="240" w:lineRule="auto"/>
        <w:ind w:left="0" w:right="0" w:firstLine="393"/>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 xml:space="preserve">Il convient de préciser </w:t>
      </w:r>
      <w:r w:rsidR="00D25820">
        <w:rPr>
          <w:rFonts w:ascii="Marianne" w:hAnsi="Marianne" w:cstheme="minorHAnsi"/>
          <w:color w:val="auto"/>
          <w:sz w:val="20"/>
          <w:szCs w:val="20"/>
          <w:shd w:val="clear" w:color="auto" w:fill="FFFFFF"/>
        </w:rPr>
        <w:t xml:space="preserve">que tout bien appartenant à une personne publique ne relève pas du domaine public de celle-ci. </w:t>
      </w:r>
      <w:r w:rsidR="002D66B4">
        <w:rPr>
          <w:rFonts w:ascii="Marianne" w:hAnsi="Marianne" w:cstheme="minorHAnsi"/>
          <w:color w:val="auto"/>
          <w:sz w:val="20"/>
          <w:szCs w:val="20"/>
          <w:shd w:val="clear" w:color="auto" w:fill="FFFFFF"/>
        </w:rPr>
        <w:t>Ainsi, l</w:t>
      </w:r>
      <w:r w:rsidR="00D25820">
        <w:rPr>
          <w:rFonts w:ascii="Marianne" w:hAnsi="Marianne" w:cstheme="minorHAnsi"/>
          <w:color w:val="auto"/>
          <w:sz w:val="20"/>
          <w:szCs w:val="20"/>
          <w:shd w:val="clear" w:color="auto" w:fill="FFFFFF"/>
        </w:rPr>
        <w:t xml:space="preserve">e domaine privé de la personne publique est défini par opposition au domaine public (ce qui ne constitue pas </w:t>
      </w:r>
      <w:r w:rsidR="002D66B4">
        <w:rPr>
          <w:rFonts w:ascii="Marianne" w:hAnsi="Marianne" w:cstheme="minorHAnsi"/>
          <w:color w:val="auto"/>
          <w:sz w:val="20"/>
          <w:szCs w:val="20"/>
          <w:shd w:val="clear" w:color="auto" w:fill="FFFFFF"/>
        </w:rPr>
        <w:t>le</w:t>
      </w:r>
      <w:r w:rsidR="00D25820">
        <w:rPr>
          <w:rFonts w:ascii="Marianne" w:hAnsi="Marianne" w:cstheme="minorHAnsi"/>
          <w:color w:val="auto"/>
          <w:sz w:val="20"/>
          <w:szCs w:val="20"/>
          <w:shd w:val="clear" w:color="auto" w:fill="FFFFFF"/>
        </w:rPr>
        <w:t xml:space="preserve"> domaine public relève du domaine privé). On peut notamment citer les chemins ruraux ou les bois et forêt des</w:t>
      </w:r>
      <w:r w:rsidR="00D25820" w:rsidRPr="00D25820">
        <w:rPr>
          <w:rFonts w:ascii="Marianne" w:hAnsi="Marianne" w:cstheme="minorHAnsi"/>
          <w:color w:val="auto"/>
          <w:sz w:val="20"/>
          <w:szCs w:val="20"/>
          <w:shd w:val="clear" w:color="auto" w:fill="FFFFFF"/>
        </w:rPr>
        <w:t xml:space="preserve"> personnes publiques relevant du régime forestier</w:t>
      </w:r>
      <w:r w:rsidR="00D25820">
        <w:rPr>
          <w:rFonts w:ascii="Marianne" w:hAnsi="Marianne" w:cstheme="minorHAnsi"/>
          <w:color w:val="auto"/>
          <w:sz w:val="20"/>
          <w:szCs w:val="20"/>
          <w:shd w:val="clear" w:color="auto" w:fill="FFFFFF"/>
        </w:rPr>
        <w:t xml:space="preserve"> (art. L2211-1 et L2212-1 du CG3P). </w:t>
      </w:r>
    </w:p>
    <w:p w14:paraId="1A0FD25C" w14:textId="6C05C6BF" w:rsidR="007C0434" w:rsidRDefault="007C0434" w:rsidP="005F1632">
      <w:pPr>
        <w:spacing w:after="120" w:line="240" w:lineRule="auto"/>
        <w:ind w:left="0" w:right="0" w:firstLine="393"/>
        <w:rPr>
          <w:rFonts w:ascii="Marianne" w:hAnsi="Marianne" w:cstheme="minorHAnsi"/>
          <w:color w:val="auto"/>
          <w:sz w:val="20"/>
          <w:szCs w:val="20"/>
          <w:shd w:val="clear" w:color="auto" w:fill="FFFFFF"/>
        </w:rPr>
      </w:pPr>
    </w:p>
    <w:p w14:paraId="34A6777C" w14:textId="56059638" w:rsidR="007C0434" w:rsidRPr="007C0434" w:rsidRDefault="007C0434" w:rsidP="005F1632">
      <w:pPr>
        <w:pStyle w:val="Paragraphedeliste"/>
        <w:numPr>
          <w:ilvl w:val="0"/>
          <w:numId w:val="5"/>
        </w:numPr>
        <w:spacing w:after="120" w:line="240" w:lineRule="auto"/>
        <w:ind w:right="0" w:firstLine="393"/>
        <w:contextualSpacing w:val="0"/>
        <w:rPr>
          <w:rFonts w:ascii="Marianne" w:hAnsi="Marianne" w:cstheme="minorHAnsi"/>
          <w:b/>
          <w:bCs/>
          <w:color w:val="auto"/>
          <w:sz w:val="20"/>
          <w:szCs w:val="20"/>
          <w:shd w:val="clear" w:color="auto" w:fill="FFFFFF"/>
        </w:rPr>
      </w:pPr>
      <w:r w:rsidRPr="007C0434">
        <w:rPr>
          <w:rFonts w:ascii="Marianne" w:hAnsi="Marianne" w:cstheme="minorHAnsi"/>
          <w:b/>
          <w:bCs/>
          <w:color w:val="auto"/>
          <w:sz w:val="20"/>
          <w:szCs w:val="20"/>
          <w:shd w:val="clear" w:color="auto" w:fill="FFFFFF"/>
        </w:rPr>
        <w:t>Occupation du domaine public</w:t>
      </w:r>
    </w:p>
    <w:p w14:paraId="3F2775D7" w14:textId="77777777" w:rsidR="00F437FD" w:rsidRDefault="00F437FD" w:rsidP="005F1632">
      <w:pPr>
        <w:spacing w:after="120" w:line="240" w:lineRule="auto"/>
        <w:ind w:left="0" w:right="0" w:firstLine="393"/>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 xml:space="preserve">Le domaine public est accessible à quiconque, dès lors que son utilisation ne dépasse pas les limites du droit d’usage, qui appartient à tous. </w:t>
      </w:r>
    </w:p>
    <w:p w14:paraId="58CD0788" w14:textId="1097916E" w:rsidR="007C0434" w:rsidRDefault="00F437FD" w:rsidP="005F1632">
      <w:pPr>
        <w:spacing w:after="120" w:line="240" w:lineRule="auto"/>
        <w:ind w:left="0" w:right="0" w:firstLine="393"/>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 xml:space="preserve">Toute occupation ou utilisation de ce domaine qui empêche l’exercice par les autres de leur droit d’usage constitue une occupation privative qui doit faire l’objet d’un titre </w:t>
      </w:r>
      <w:r w:rsidR="005F1632">
        <w:rPr>
          <w:rFonts w:ascii="Marianne" w:hAnsi="Marianne" w:cstheme="minorHAnsi"/>
          <w:color w:val="auto"/>
          <w:sz w:val="20"/>
          <w:szCs w:val="20"/>
          <w:shd w:val="clear" w:color="auto" w:fill="FFFFFF"/>
        </w:rPr>
        <w:t>autorisant l</w:t>
      </w:r>
      <w:r>
        <w:rPr>
          <w:rFonts w:ascii="Marianne" w:hAnsi="Marianne" w:cstheme="minorHAnsi"/>
          <w:color w:val="auto"/>
          <w:sz w:val="20"/>
          <w:szCs w:val="20"/>
          <w:shd w:val="clear" w:color="auto" w:fill="FFFFFF"/>
        </w:rPr>
        <w:t>’occupation</w:t>
      </w:r>
      <w:r w:rsidR="002D66B4">
        <w:rPr>
          <w:rFonts w:ascii="Marianne" w:hAnsi="Marianne" w:cstheme="minorHAnsi"/>
          <w:color w:val="auto"/>
          <w:sz w:val="20"/>
          <w:szCs w:val="20"/>
          <w:shd w:val="clear" w:color="auto" w:fill="FFFFFF"/>
        </w:rPr>
        <w:t xml:space="preserve">, </w:t>
      </w:r>
      <w:r>
        <w:rPr>
          <w:rFonts w:ascii="Marianne" w:hAnsi="Marianne" w:cstheme="minorHAnsi"/>
          <w:color w:val="auto"/>
          <w:sz w:val="20"/>
          <w:szCs w:val="20"/>
          <w:shd w:val="clear" w:color="auto" w:fill="FFFFFF"/>
        </w:rPr>
        <w:t xml:space="preserve">délivrée par </w:t>
      </w:r>
      <w:r w:rsidR="005F1632">
        <w:rPr>
          <w:rFonts w:ascii="Marianne" w:hAnsi="Marianne" w:cstheme="minorHAnsi"/>
          <w:color w:val="auto"/>
          <w:sz w:val="20"/>
          <w:szCs w:val="20"/>
          <w:shd w:val="clear" w:color="auto" w:fill="FFFFFF"/>
        </w:rPr>
        <w:t xml:space="preserve">la personne publique (art. L2122-1 du CG3P). </w:t>
      </w:r>
    </w:p>
    <w:p w14:paraId="518211A3" w14:textId="70FABB5A" w:rsidR="005F1632" w:rsidRDefault="005F1632" w:rsidP="006831B7">
      <w:pPr>
        <w:spacing w:after="120" w:line="240" w:lineRule="auto"/>
        <w:ind w:left="0" w:right="0" w:firstLine="393"/>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Ces titres sont nécessairement temporaires, strictement personnels, précaires et révocables</w:t>
      </w:r>
      <w:r w:rsidR="006831B7">
        <w:rPr>
          <w:rFonts w:ascii="Marianne" w:hAnsi="Marianne" w:cstheme="minorHAnsi"/>
          <w:color w:val="auto"/>
          <w:sz w:val="20"/>
          <w:szCs w:val="20"/>
          <w:shd w:val="clear" w:color="auto" w:fill="FFFFFF"/>
        </w:rPr>
        <w:t xml:space="preserve"> </w:t>
      </w:r>
      <w:r>
        <w:rPr>
          <w:rFonts w:ascii="Marianne" w:hAnsi="Marianne" w:cstheme="minorHAnsi"/>
          <w:color w:val="auto"/>
          <w:sz w:val="20"/>
          <w:szCs w:val="20"/>
          <w:shd w:val="clear" w:color="auto" w:fill="FFFFFF"/>
        </w:rPr>
        <w:t xml:space="preserve">(art. L2122-2 et 2122-3 CG3P). </w:t>
      </w:r>
      <w:r w:rsidR="006831B7">
        <w:rPr>
          <w:rFonts w:ascii="Marianne" w:hAnsi="Marianne" w:cstheme="minorHAnsi"/>
          <w:color w:val="auto"/>
          <w:sz w:val="20"/>
          <w:szCs w:val="20"/>
          <w:shd w:val="clear" w:color="auto" w:fill="FFFFFF"/>
        </w:rPr>
        <w:t>Le titre peut ainsi être révoqué à tout moment</w:t>
      </w:r>
      <w:r w:rsidR="00F46DE6">
        <w:rPr>
          <w:rFonts w:ascii="Marianne" w:hAnsi="Marianne" w:cstheme="minorHAnsi"/>
          <w:color w:val="auto"/>
          <w:sz w:val="20"/>
          <w:szCs w:val="20"/>
          <w:shd w:val="clear" w:color="auto" w:fill="FFFFFF"/>
        </w:rPr>
        <w:t xml:space="preserve">, </w:t>
      </w:r>
      <w:r w:rsidR="006831B7">
        <w:rPr>
          <w:rFonts w:ascii="Marianne" w:hAnsi="Marianne" w:cstheme="minorHAnsi"/>
          <w:color w:val="auto"/>
          <w:sz w:val="20"/>
          <w:szCs w:val="20"/>
          <w:shd w:val="clear" w:color="auto" w:fill="FFFFFF"/>
        </w:rPr>
        <w:t xml:space="preserve">notamment pour un motif d’intérêt général ou </w:t>
      </w:r>
      <w:r w:rsidR="00F46DE6">
        <w:rPr>
          <w:rFonts w:ascii="Marianne" w:hAnsi="Marianne" w:cstheme="minorHAnsi"/>
          <w:color w:val="auto"/>
          <w:sz w:val="20"/>
          <w:szCs w:val="20"/>
          <w:shd w:val="clear" w:color="auto" w:fill="FFFFFF"/>
        </w:rPr>
        <w:t>du fait de l’</w:t>
      </w:r>
      <w:r w:rsidR="006831B7">
        <w:rPr>
          <w:rFonts w:ascii="Marianne" w:hAnsi="Marianne" w:cstheme="minorHAnsi"/>
          <w:color w:val="auto"/>
          <w:sz w:val="20"/>
          <w:szCs w:val="20"/>
          <w:shd w:val="clear" w:color="auto" w:fill="FFFFFF"/>
        </w:rPr>
        <w:t xml:space="preserve">inexécution des conditions du titre. </w:t>
      </w:r>
      <w:r>
        <w:rPr>
          <w:rFonts w:ascii="Marianne" w:hAnsi="Marianne" w:cstheme="minorHAnsi"/>
          <w:color w:val="auto"/>
          <w:sz w:val="20"/>
          <w:szCs w:val="20"/>
          <w:shd w:val="clear" w:color="auto" w:fill="FFFFFF"/>
        </w:rPr>
        <w:t xml:space="preserve">L’autorisation doit être écrite : il s’agira d’une autorisation d’occupation temporaire (AOT – acte administratif unilatéral) ou d’une convention d’occupation temporaire (COT – contrat). </w:t>
      </w:r>
    </w:p>
    <w:p w14:paraId="6E371F8C" w14:textId="53C2306D" w:rsidR="006831B7" w:rsidRDefault="006831B7" w:rsidP="006831B7">
      <w:pPr>
        <w:spacing w:after="120" w:line="240" w:lineRule="auto"/>
        <w:ind w:left="0" w:right="0" w:firstLine="393"/>
        <w:rPr>
          <w:rFonts w:ascii="Marianne" w:hAnsi="Marianne" w:cstheme="minorHAnsi"/>
          <w:color w:val="auto"/>
          <w:sz w:val="20"/>
          <w:szCs w:val="20"/>
          <w:shd w:val="clear" w:color="auto" w:fill="FFFFFF"/>
        </w:rPr>
      </w:pPr>
    </w:p>
    <w:p w14:paraId="5BC89518" w14:textId="214CDC0E" w:rsidR="006831B7" w:rsidRPr="00E03BC4" w:rsidRDefault="00633992" w:rsidP="006831B7">
      <w:pPr>
        <w:spacing w:after="120" w:line="240" w:lineRule="auto"/>
        <w:ind w:left="0" w:right="0" w:firstLine="567"/>
        <w:rPr>
          <w:rFonts w:ascii="Marianne" w:hAnsi="Marianne" w:cstheme="minorHAnsi"/>
          <w:b/>
          <w:bCs/>
          <w:color w:val="auto"/>
          <w:shd w:val="clear" w:color="auto" w:fill="FFFFFF"/>
        </w:rPr>
      </w:pPr>
      <w:r>
        <w:rPr>
          <w:rFonts w:ascii="Marianne" w:hAnsi="Marianne" w:cstheme="minorHAnsi"/>
          <w:b/>
          <w:bCs/>
          <w:color w:val="auto"/>
          <w:shd w:val="clear" w:color="auto" w:fill="FFFFFF"/>
        </w:rPr>
        <w:t xml:space="preserve">B - </w:t>
      </w:r>
      <w:r w:rsidR="006831B7" w:rsidRPr="00E03BC4">
        <w:rPr>
          <w:rFonts w:ascii="Marianne" w:hAnsi="Marianne" w:cstheme="minorHAnsi"/>
          <w:b/>
          <w:bCs/>
          <w:color w:val="auto"/>
          <w:shd w:val="clear" w:color="auto" w:fill="FFFFFF"/>
        </w:rPr>
        <w:t xml:space="preserve">Les procédures d’expulsion du domaine public </w:t>
      </w:r>
    </w:p>
    <w:p w14:paraId="16C35C29" w14:textId="6400DCE4" w:rsidR="00E03BC4" w:rsidRDefault="00E03BC4" w:rsidP="00E03BC4">
      <w:pPr>
        <w:spacing w:after="120" w:line="240" w:lineRule="auto"/>
        <w:ind w:left="0" w:right="0" w:firstLine="567"/>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 xml:space="preserve">Lorsque l’occupation du domaine public est illicite, l’évacuation des occupants sans droit ni titre est possible. Le maire, ou le président de l’EPCI, au titre de son pouvoir de police, est l’acteur principal à l’initiative des voies de droit envisageables. </w:t>
      </w:r>
    </w:p>
    <w:p w14:paraId="1FE6C467" w14:textId="025F6B81" w:rsidR="00E03BC4" w:rsidRDefault="00E03BC4" w:rsidP="00E03BC4">
      <w:pPr>
        <w:spacing w:after="120" w:line="240" w:lineRule="auto"/>
        <w:ind w:left="0" w:right="0" w:firstLine="567"/>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 xml:space="preserve">Il convient toutefois de préciser qu’en la matière, la médiation est souvent à privilégier. </w:t>
      </w:r>
    </w:p>
    <w:p w14:paraId="1CA4798E" w14:textId="7027308F" w:rsidR="00E03BC4" w:rsidRDefault="00E03BC4" w:rsidP="00E03BC4">
      <w:pPr>
        <w:spacing w:after="120" w:line="240" w:lineRule="auto"/>
        <w:ind w:left="0" w:right="0" w:firstLine="567"/>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En cas d’échec, l’Administration ne pouvant procéder elle-même à l’expulsion</w:t>
      </w:r>
      <w:r w:rsidRPr="00E03BC4">
        <w:rPr>
          <w:rFonts w:ascii="Marianne" w:hAnsi="Marianne" w:cstheme="minorHAnsi"/>
          <w:color w:val="auto"/>
          <w:sz w:val="20"/>
          <w:szCs w:val="20"/>
          <w:shd w:val="clear" w:color="auto" w:fill="FFFFFF"/>
        </w:rPr>
        <w:t xml:space="preserve"> </w:t>
      </w:r>
      <w:r>
        <w:rPr>
          <w:rFonts w:ascii="Marianne" w:hAnsi="Marianne" w:cstheme="minorHAnsi"/>
          <w:color w:val="auto"/>
          <w:sz w:val="20"/>
          <w:szCs w:val="20"/>
          <w:shd w:val="clear" w:color="auto" w:fill="FFFFFF"/>
        </w:rPr>
        <w:t>des occupants, il existe plusieurs procédures juridictionnelles, qu’elles soient administratives ou judiciaires</w:t>
      </w:r>
      <w:r w:rsidR="00FB30E5">
        <w:rPr>
          <w:rFonts w:ascii="Marianne" w:hAnsi="Marianne" w:cstheme="minorHAnsi"/>
          <w:color w:val="auto"/>
          <w:sz w:val="20"/>
          <w:szCs w:val="20"/>
          <w:shd w:val="clear" w:color="auto" w:fill="FFFFFF"/>
        </w:rPr>
        <w:t xml:space="preserve"> : </w:t>
      </w:r>
    </w:p>
    <w:p w14:paraId="2A7EC79A" w14:textId="73E4668B" w:rsidR="00FB30E5" w:rsidRPr="00FB30E5" w:rsidRDefault="00FB30E5" w:rsidP="00FB30E5">
      <w:pPr>
        <w:pStyle w:val="Paragraphedeliste"/>
        <w:numPr>
          <w:ilvl w:val="1"/>
          <w:numId w:val="5"/>
        </w:numPr>
        <w:spacing w:after="120" w:line="240" w:lineRule="auto"/>
        <w:ind w:right="0"/>
        <w:rPr>
          <w:rFonts w:ascii="Marianne" w:hAnsi="Marianne" w:cstheme="minorHAnsi"/>
          <w:color w:val="auto"/>
          <w:sz w:val="20"/>
          <w:szCs w:val="20"/>
          <w:shd w:val="clear" w:color="auto" w:fill="FFFFFF"/>
        </w:rPr>
      </w:pPr>
      <w:r>
        <w:rPr>
          <w:rFonts w:ascii="Marianne" w:hAnsi="Marianne"/>
          <w:sz w:val="20"/>
          <w:szCs w:val="20"/>
        </w:rPr>
        <w:lastRenderedPageBreak/>
        <w:t>D</w:t>
      </w:r>
      <w:r w:rsidRPr="00C36D62">
        <w:rPr>
          <w:rFonts w:ascii="Marianne" w:hAnsi="Marianne"/>
          <w:sz w:val="20"/>
          <w:szCs w:val="20"/>
        </w:rPr>
        <w:t>evant le juge administratif, en cas d’occupation d’une dépendance du domaine public non routier d’une personne publique</w:t>
      </w:r>
      <w:r>
        <w:rPr>
          <w:rFonts w:ascii="Marianne" w:hAnsi="Marianne"/>
          <w:sz w:val="20"/>
          <w:szCs w:val="20"/>
        </w:rPr>
        <w:t> </w:t>
      </w:r>
      <w:r w:rsidR="003141F5">
        <w:rPr>
          <w:rFonts w:ascii="Marianne" w:hAnsi="Marianne"/>
          <w:sz w:val="20"/>
          <w:szCs w:val="20"/>
        </w:rPr>
        <w:t>+ référés ;</w:t>
      </w:r>
    </w:p>
    <w:p w14:paraId="1E167EF3" w14:textId="77A46339" w:rsidR="00437F08" w:rsidRDefault="00FB30E5" w:rsidP="0032577F">
      <w:pPr>
        <w:pStyle w:val="Paragraphedeliste"/>
        <w:numPr>
          <w:ilvl w:val="1"/>
          <w:numId w:val="5"/>
        </w:numPr>
        <w:spacing w:after="120" w:line="240" w:lineRule="auto"/>
        <w:ind w:right="0"/>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D</w:t>
      </w:r>
      <w:r w:rsidRPr="00FB30E5">
        <w:rPr>
          <w:rFonts w:ascii="Marianne" w:hAnsi="Marianne" w:cstheme="minorHAnsi"/>
          <w:color w:val="auto"/>
          <w:sz w:val="20"/>
          <w:szCs w:val="20"/>
          <w:shd w:val="clear" w:color="auto" w:fill="FFFFFF"/>
        </w:rPr>
        <w:t>evant le juge civil, en cas d’occupation d’une propriété privée, d’une dépendance du domaine privé d’une personne publique ou d’une dépendance du domaine public routier</w:t>
      </w:r>
      <w:r>
        <w:rPr>
          <w:rFonts w:ascii="Marianne" w:hAnsi="Marianne" w:cstheme="minorHAnsi"/>
          <w:color w:val="auto"/>
          <w:sz w:val="20"/>
          <w:szCs w:val="20"/>
          <w:shd w:val="clear" w:color="auto" w:fill="FFFFFF"/>
        </w:rPr>
        <w:t xml:space="preserve"> ; </w:t>
      </w:r>
    </w:p>
    <w:p w14:paraId="787F7385" w14:textId="18E480B8" w:rsidR="0032577F" w:rsidRPr="0032577F" w:rsidRDefault="0032577F" w:rsidP="0032577F">
      <w:pPr>
        <w:pStyle w:val="Paragraphedeliste"/>
        <w:numPr>
          <w:ilvl w:val="1"/>
          <w:numId w:val="5"/>
        </w:numPr>
        <w:spacing w:after="120" w:line="240" w:lineRule="auto"/>
        <w:ind w:right="0"/>
        <w:rPr>
          <w:rFonts w:ascii="Marianne" w:hAnsi="Marianne" w:cstheme="minorHAnsi"/>
          <w:color w:val="auto"/>
          <w:sz w:val="20"/>
          <w:szCs w:val="20"/>
          <w:shd w:val="clear" w:color="auto" w:fill="FFFFFF"/>
        </w:rPr>
      </w:pPr>
      <w:r>
        <w:rPr>
          <w:rFonts w:ascii="Marianne" w:hAnsi="Marianne" w:cstheme="minorHAnsi"/>
          <w:color w:val="auto"/>
          <w:sz w:val="20"/>
          <w:szCs w:val="20"/>
          <w:shd w:val="clear" w:color="auto" w:fill="FFFFFF"/>
        </w:rPr>
        <w:t>D</w:t>
      </w:r>
      <w:r w:rsidRPr="0032577F">
        <w:rPr>
          <w:rFonts w:ascii="Marianne" w:hAnsi="Marianne" w:cstheme="minorHAnsi"/>
          <w:color w:val="auto"/>
          <w:sz w:val="20"/>
          <w:szCs w:val="20"/>
          <w:shd w:val="clear" w:color="auto" w:fill="FFFFFF"/>
        </w:rPr>
        <w:t>evant le juge pénal, dans la mesure où le stationnement non autorisé est constitutif du délit prévu à l’article 322-4-1 du code pénal. Dans ce cas, le stationnement est puni d’une peine d’un an d’emprisonnement et de 7 500 € d’amende. Lorsque l’installation s’est faite au moyen de véhicules automobiles, il peut être procédé à leur saisie, à l’exception des véhicules destinés à l’habitation, en vue de leur confiscation par la juridiction pénale. À noter, que cet article précise que la commune doit s’être « conformée aux obligations lui incombant », en vertu du schéma départemental.</w:t>
      </w:r>
    </w:p>
    <w:p w14:paraId="457BAAA0" w14:textId="094783CF"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I</w:t>
      </w:r>
      <w:r w:rsidR="003D15A7" w:rsidRPr="00C36D62">
        <w:rPr>
          <w:rFonts w:ascii="Marianne" w:hAnsi="Marianne"/>
          <w:sz w:val="20"/>
          <w:szCs w:val="20"/>
        </w:rPr>
        <w:t xml:space="preserve">l existe également une procédure civile spéciale, </w:t>
      </w:r>
      <w:r w:rsidR="00F822B1" w:rsidRPr="00C36D62">
        <w:rPr>
          <w:rFonts w:ascii="Marianne" w:hAnsi="Marianne"/>
          <w:sz w:val="20"/>
          <w:szCs w:val="20"/>
        </w:rPr>
        <w:t>sous la forme de</w:t>
      </w:r>
      <w:r w:rsidR="003D15A7" w:rsidRPr="00C36D62">
        <w:rPr>
          <w:rFonts w:ascii="Marianne" w:hAnsi="Marianne"/>
          <w:sz w:val="20"/>
          <w:szCs w:val="20"/>
        </w:rPr>
        <w:t xml:space="preserve"> référé, applicable au stationnement de résidences mobiles d</w:t>
      </w:r>
      <w:r w:rsidR="00F822B1" w:rsidRPr="00C36D62">
        <w:rPr>
          <w:rFonts w:ascii="Marianne" w:hAnsi="Marianne"/>
          <w:sz w:val="20"/>
          <w:szCs w:val="20"/>
        </w:rPr>
        <w:t>e citoyens français itinérants</w:t>
      </w:r>
      <w:r w:rsidR="003D15A7" w:rsidRPr="00C36D62">
        <w:rPr>
          <w:rFonts w:ascii="Marianne" w:hAnsi="Marianne"/>
          <w:sz w:val="20"/>
          <w:szCs w:val="20"/>
        </w:rPr>
        <w:t xml:space="preserve"> et dont l’engagement est soumis à trois conditions cumulatives :</w:t>
      </w:r>
    </w:p>
    <w:p w14:paraId="4C11A27A" w14:textId="77777777"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 xml:space="preserve">1. </w:t>
      </w:r>
      <w:r w:rsidR="003D15A7" w:rsidRPr="00C36D62">
        <w:rPr>
          <w:rFonts w:ascii="Marianne" w:hAnsi="Marianne"/>
          <w:sz w:val="20"/>
          <w:szCs w:val="20"/>
        </w:rPr>
        <w:t xml:space="preserve">que ce stationnement viole un arrêté de police pris en application du pouvoir de police spéciale du stationnement de ces résidences mobiles ; </w:t>
      </w:r>
    </w:p>
    <w:p w14:paraId="1F3292A0" w14:textId="77777777"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 xml:space="preserve">2. </w:t>
      </w:r>
      <w:r w:rsidR="003D15A7" w:rsidRPr="00C36D62">
        <w:rPr>
          <w:rFonts w:ascii="Marianne" w:hAnsi="Marianne"/>
          <w:sz w:val="20"/>
          <w:szCs w:val="20"/>
        </w:rPr>
        <w:t xml:space="preserve">qu’il concerne un terrain affecté à une activité économique ; </w:t>
      </w:r>
    </w:p>
    <w:p w14:paraId="7529E6BA" w14:textId="77777777"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 xml:space="preserve">3. </w:t>
      </w:r>
      <w:r w:rsidR="003D15A7" w:rsidRPr="00C36D62">
        <w:rPr>
          <w:rFonts w:ascii="Marianne" w:hAnsi="Marianne"/>
          <w:sz w:val="20"/>
          <w:szCs w:val="20"/>
        </w:rPr>
        <w:t>qu’il soit de nature à entraver cette activité (</w:t>
      </w:r>
      <w:proofErr w:type="spellStart"/>
      <w:r w:rsidR="003D15A7" w:rsidRPr="00C36D62">
        <w:rPr>
          <w:rFonts w:ascii="Marianne" w:hAnsi="Marianne"/>
          <w:sz w:val="20"/>
          <w:szCs w:val="20"/>
        </w:rPr>
        <w:t>cf</w:t>
      </w:r>
      <w:proofErr w:type="spellEnd"/>
      <w:r w:rsidR="003D15A7" w:rsidRPr="00C36D62">
        <w:rPr>
          <w:rFonts w:ascii="Marianne" w:hAnsi="Marianne"/>
          <w:sz w:val="20"/>
          <w:szCs w:val="20"/>
        </w:rPr>
        <w:t xml:space="preserve"> IV de l’article 9 de la loi n° 2000-614 du 5 juillet 2000). Dans certains cas, cependant, l’autorité administrative peut agir d’office et faire évacuer un campement sans décision juridictionnelle. En vertu de son pouvoir de police générale, le maire dispose de cette faculté sur le territoire de sa commune, en cas de trouble grave pour l’ordre public et si l’urgence le justifie. </w:t>
      </w:r>
    </w:p>
    <w:p w14:paraId="10A8D87D" w14:textId="77777777" w:rsidR="00437F08" w:rsidRPr="00C36D62" w:rsidRDefault="00437F08" w:rsidP="005F1632">
      <w:pPr>
        <w:spacing w:after="120" w:line="240" w:lineRule="auto"/>
        <w:ind w:left="174" w:right="0"/>
        <w:rPr>
          <w:rFonts w:ascii="Marianne" w:hAnsi="Marianne"/>
          <w:sz w:val="20"/>
          <w:szCs w:val="20"/>
        </w:rPr>
      </w:pPr>
    </w:p>
    <w:p w14:paraId="39C3A0A2" w14:textId="77777777" w:rsidR="00F822B1"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Il existe par ailleurs une procédure spéciale d’évacuation d’office des résidences mobiles de</w:t>
      </w:r>
      <w:r w:rsidR="00F822B1" w:rsidRPr="00C36D62">
        <w:rPr>
          <w:rFonts w:ascii="Marianne" w:hAnsi="Marianne"/>
          <w:sz w:val="20"/>
          <w:szCs w:val="20"/>
        </w:rPr>
        <w:t>s citoyens français itinérants</w:t>
      </w:r>
      <w:r w:rsidRPr="00C36D62">
        <w:rPr>
          <w:rFonts w:ascii="Marianne" w:hAnsi="Marianne"/>
          <w:sz w:val="20"/>
          <w:szCs w:val="20"/>
        </w:rPr>
        <w:t xml:space="preserve">, sur décision du préfet. Il s’agit de la procédure administrative d’évacuation d’office et forcée prévue par l’article 9 de la loi n°2000-614 du 5 juillet 2000. </w:t>
      </w:r>
    </w:p>
    <w:p w14:paraId="61AE2062" w14:textId="07BFCB1F"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La procédure d’évacuation administrative d’office et forcée peut être mise en œuvre à condition que</w:t>
      </w:r>
      <w:r w:rsidR="00F822B1" w:rsidRPr="00C36D62">
        <w:rPr>
          <w:rFonts w:ascii="Marianne" w:hAnsi="Marianne"/>
          <w:sz w:val="20"/>
          <w:szCs w:val="20"/>
        </w:rPr>
        <w:t> :</w:t>
      </w:r>
    </w:p>
    <w:p w14:paraId="5BE00080" w14:textId="77777777"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 xml:space="preserve">- </w:t>
      </w:r>
      <w:r w:rsidR="003D15A7" w:rsidRPr="00C36D62">
        <w:rPr>
          <w:rFonts w:ascii="Marianne" w:hAnsi="Marianne"/>
          <w:sz w:val="20"/>
          <w:szCs w:val="20"/>
        </w:rPr>
        <w:t>le stationnement illégal porte atteinte à la salubrité, la sécurité ou la tranquillité</w:t>
      </w:r>
      <w:r w:rsidRPr="00C36D62">
        <w:rPr>
          <w:rFonts w:ascii="Marianne" w:hAnsi="Marianne"/>
          <w:sz w:val="20"/>
          <w:szCs w:val="20"/>
        </w:rPr>
        <w:t xml:space="preserve"> </w:t>
      </w:r>
      <w:r w:rsidR="003D15A7" w:rsidRPr="00C36D62">
        <w:rPr>
          <w:rFonts w:ascii="Marianne" w:hAnsi="Marianne"/>
          <w:sz w:val="20"/>
          <w:szCs w:val="20"/>
        </w:rPr>
        <w:t xml:space="preserve">publiques ; </w:t>
      </w:r>
    </w:p>
    <w:p w14:paraId="2CB9116F" w14:textId="77777777" w:rsidR="00437F08" w:rsidRPr="00C36D62" w:rsidRDefault="00437F08" w:rsidP="005F1632">
      <w:pPr>
        <w:spacing w:after="120" w:line="240" w:lineRule="auto"/>
        <w:ind w:left="174" w:right="0"/>
        <w:rPr>
          <w:rFonts w:ascii="Marianne" w:hAnsi="Marianne"/>
          <w:sz w:val="20"/>
          <w:szCs w:val="20"/>
        </w:rPr>
      </w:pPr>
      <w:r w:rsidRPr="00C36D62">
        <w:rPr>
          <w:rFonts w:ascii="Marianne" w:hAnsi="Marianne"/>
          <w:sz w:val="20"/>
          <w:szCs w:val="20"/>
        </w:rPr>
        <w:t xml:space="preserve">- </w:t>
      </w:r>
      <w:r w:rsidR="003D15A7" w:rsidRPr="00C36D62">
        <w:rPr>
          <w:rFonts w:ascii="Marianne" w:hAnsi="Marianne"/>
          <w:sz w:val="20"/>
          <w:szCs w:val="20"/>
        </w:rPr>
        <w:t xml:space="preserve">le stationnement soit réalisé en violation d’un arrêté interdisant le stationnement, en dehors des aires et terrains existants, des résidences mobiles mentionnées à l’article 1er de la loi du 5 juillet 2000. </w:t>
      </w:r>
    </w:p>
    <w:p w14:paraId="2945E4F4" w14:textId="77777777" w:rsidR="00F822B1" w:rsidRPr="00C36D62" w:rsidRDefault="00F822B1" w:rsidP="005F1632">
      <w:pPr>
        <w:spacing w:after="120" w:line="240" w:lineRule="auto"/>
        <w:ind w:left="174" w:right="0"/>
        <w:rPr>
          <w:rFonts w:ascii="Marianne" w:hAnsi="Marianne"/>
          <w:sz w:val="20"/>
          <w:szCs w:val="20"/>
        </w:rPr>
      </w:pPr>
    </w:p>
    <w:p w14:paraId="3F356E29" w14:textId="63E02705"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L’arrêté d’interdiction de stationnement </w:t>
      </w:r>
      <w:proofErr w:type="spellStart"/>
      <w:r w:rsidRPr="00C36D62">
        <w:rPr>
          <w:rFonts w:ascii="Marianne" w:hAnsi="Marianne"/>
          <w:sz w:val="20"/>
          <w:szCs w:val="20"/>
        </w:rPr>
        <w:t>sus-visé</w:t>
      </w:r>
      <w:proofErr w:type="spellEnd"/>
      <w:r w:rsidRPr="00C36D62">
        <w:rPr>
          <w:rFonts w:ascii="Marianne" w:hAnsi="Marianne"/>
          <w:sz w:val="20"/>
          <w:szCs w:val="20"/>
        </w:rPr>
        <w:t xml:space="preserve"> peut être pris par le maire dès lors que l’une des conditions suivantes est remplie : </w:t>
      </w:r>
    </w:p>
    <w:p w14:paraId="665A3413"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1. L’établissement public de coopération intercommunale a satisfait aux obligations qui lui incombent en application de l’article 2 de la loi du 5 juillet 2000 ; </w:t>
      </w:r>
    </w:p>
    <w:p w14:paraId="05ADC6A1"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2. L’établissement public de coopération intercommunale bénéficie du délai supplémentaire prévu au III du même article 2 ; </w:t>
      </w:r>
    </w:p>
    <w:p w14:paraId="6B0FA08E"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3. L’établissement public de coopération intercommunale dispose d’un emplacement provisoire agréé par le préfet ; </w:t>
      </w:r>
    </w:p>
    <w:p w14:paraId="00BF397C"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lastRenderedPageBreak/>
        <w:t xml:space="preserve">4. L’établissement public de coopération intercommunale est doté d’une aire permanente d’accueil, de terrains familiaux locatifs ou d’une aire de grand passage, sans qu’aucune des communes qui en sont membres soit inscrite au schéma départemental prévu à l’article 1er ; </w:t>
      </w:r>
    </w:p>
    <w:p w14:paraId="74E4950A"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5. L’établissement public de coopération intercommunale a décidé, sans y être tenu, de contribuer au financement d’une telle aire ou de tels terrains sur le territoire d’un autre établissement public de coopération intercommunale ; </w:t>
      </w:r>
    </w:p>
    <w:p w14:paraId="69B043A7" w14:textId="77777777" w:rsidR="00F822B1"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6. La commune est dotée d’une aire permanente d’accueil, de terrains familiaux locatifs ou d’une aire de grand passage conformes aux prescriptions du schéma départemental, bien que l’établissement public de coopération intercommunale auquel elle appartient n’ait pas satisfait à l’ensemble de ses obligations. L’agrément prévu au 3e point est délivré pour une durée ne pouvant excéder six mois, en fonction de la localisation, de la capacité et de l’équipement de l’emplacement concerné, dans des conditions définies par décret. À noter qu’en vertu de l’article 9-1 de la loi n°2000-614 du 5 juillet 2000, dans les communes non inscrites au schéma départemental et non mentionnées à l’article 9, le préfet peut mettre en œuvre la procédure de mise en demeure et d’évacuation prévue au II du même article, à la demande du maire, du propriétaire ou du titulaire du droit d’usage du terrain, en vue de mettre fin au stationnement non autorisé de résidences mobiles de nature à porter atteinte à la salubrité, la sécurité ou la tranquillité publiques. </w:t>
      </w:r>
    </w:p>
    <w:p w14:paraId="36340BE4" w14:textId="2A78D785" w:rsidR="00F822B1"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Les personnes objets de la décision de mise en demeure bénéficient des voies de recours mentionnées au II bis du même article. </w:t>
      </w:r>
    </w:p>
    <w:p w14:paraId="78F0E1A7" w14:textId="77777777" w:rsidR="00F822B1" w:rsidRPr="00C36D62" w:rsidRDefault="00F822B1" w:rsidP="005F1632">
      <w:pPr>
        <w:spacing w:after="120" w:line="240" w:lineRule="auto"/>
        <w:ind w:left="174" w:right="0"/>
        <w:rPr>
          <w:rFonts w:ascii="Marianne" w:hAnsi="Marianne"/>
          <w:sz w:val="20"/>
          <w:szCs w:val="20"/>
        </w:rPr>
      </w:pPr>
    </w:p>
    <w:p w14:paraId="6998CC45"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Cette procédure prend la forme suivante : </w:t>
      </w:r>
    </w:p>
    <w:p w14:paraId="52F0A82E"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 à la demande du maire, du propriétaire du terrain occupé ou du titulaire d’un droit d’usage, le préfet a la faculté de mettre en demeure les occupants de quitter les lieux, la mise en demeure étant assortie d’un délai d’exécution qui ne peut être inférieur à vingt-quatre heures. Cette mise en demeure reste applicable si, dans un délai de sept jours suivant sa notification, la résidence mobile se retrouve à nouveau en stationnement illicite, portant la même atteinte à l’ordre public, sur le territoire de la commune ou de l’EPCI ; </w:t>
      </w:r>
    </w:p>
    <w:p w14:paraId="042A2DA1" w14:textId="77777777" w:rsidR="00437F08"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xml:space="preserve">• lorsque la mise en demeure n’a pas été suivie d’effet dans le délai imparti et n’a pas fait l’objet d’un recours devant le juge administratif en référé, qui dispose alors de quarante-huit heures pour se prononcer, le préfet peut procéder à l’évacuation forcée des résidences mobiles, sauf opposition du propriétaire du terrain ou du titulaire d’un droit d’usage ; </w:t>
      </w:r>
    </w:p>
    <w:p w14:paraId="266AAE91" w14:textId="595EDAC1" w:rsidR="008A4F90" w:rsidRPr="00C36D62" w:rsidRDefault="003D15A7" w:rsidP="005F1632">
      <w:pPr>
        <w:spacing w:after="120" w:line="240" w:lineRule="auto"/>
        <w:ind w:left="174" w:right="0"/>
        <w:rPr>
          <w:rFonts w:ascii="Marianne" w:hAnsi="Marianne"/>
          <w:sz w:val="20"/>
          <w:szCs w:val="20"/>
        </w:rPr>
      </w:pPr>
      <w:r w:rsidRPr="00C36D62">
        <w:rPr>
          <w:rFonts w:ascii="Marianne" w:hAnsi="Marianne"/>
          <w:sz w:val="20"/>
          <w:szCs w:val="20"/>
        </w:rPr>
        <w:t>• les destinataires de la mise en demeure, ainsi que le propriétaire ou le titulaire d’un droit d’usage, peuvent demander son annulation au tribunal administratif, dans un délai de recours égal au déla</w:t>
      </w:r>
      <w:r w:rsidR="00F822B1" w:rsidRPr="00C36D62">
        <w:rPr>
          <w:rFonts w:ascii="Marianne" w:hAnsi="Marianne"/>
          <w:sz w:val="20"/>
          <w:szCs w:val="20"/>
        </w:rPr>
        <w:t xml:space="preserve">i </w:t>
      </w:r>
      <w:r w:rsidRPr="00C36D62">
        <w:rPr>
          <w:rFonts w:ascii="Marianne" w:hAnsi="Marianne"/>
          <w:sz w:val="20"/>
          <w:szCs w:val="20"/>
        </w:rPr>
        <w:t>d’exécution. Le recours suspend l’exécution de la mise en demeure. Le président du tribunal administratif ou son délégué statue dans un délai de quarante-huit heures.</w:t>
      </w:r>
    </w:p>
    <w:p w14:paraId="7C7DBF5E" w14:textId="77777777" w:rsidR="008A4F90" w:rsidRPr="00C36D62" w:rsidRDefault="008A4F90" w:rsidP="005F1632">
      <w:pPr>
        <w:spacing w:after="120" w:line="240" w:lineRule="auto"/>
        <w:ind w:left="0" w:right="0" w:firstLine="0"/>
        <w:rPr>
          <w:rFonts w:ascii="Marianne" w:hAnsi="Marianne"/>
          <w:sz w:val="20"/>
          <w:szCs w:val="20"/>
          <w:u w:val="single" w:color="000000"/>
        </w:rPr>
      </w:pPr>
    </w:p>
    <w:p w14:paraId="6DF2E149" w14:textId="6A129766" w:rsidR="006B679F" w:rsidRPr="00C36D62" w:rsidRDefault="006B679F" w:rsidP="005F1632">
      <w:pPr>
        <w:spacing w:after="120" w:line="240" w:lineRule="auto"/>
        <w:ind w:left="-15" w:right="15" w:firstLine="0"/>
        <w:rPr>
          <w:rFonts w:ascii="Marianne" w:hAnsi="Marianne"/>
          <w:sz w:val="20"/>
          <w:szCs w:val="20"/>
        </w:rPr>
      </w:pPr>
      <w:r w:rsidRPr="00C36D62">
        <w:rPr>
          <w:rFonts w:ascii="Marianne" w:hAnsi="Marianne"/>
          <w:sz w:val="20"/>
          <w:szCs w:val="20"/>
        </w:rPr>
        <w:t xml:space="preserve">Les dispositions de l’article 9 de la loi n°2000-614 du 5 juillet 2000 modifiée relative à l’accueil et à l’habitat des </w:t>
      </w:r>
      <w:r w:rsidR="00F822B1" w:rsidRPr="00C36D62">
        <w:rPr>
          <w:rFonts w:ascii="Marianne" w:hAnsi="Marianne"/>
          <w:sz w:val="20"/>
          <w:szCs w:val="20"/>
        </w:rPr>
        <w:t>citoyens français itinérants</w:t>
      </w:r>
      <w:r w:rsidRPr="00C36D62">
        <w:rPr>
          <w:rFonts w:ascii="Marianne" w:hAnsi="Marianne"/>
          <w:sz w:val="20"/>
          <w:szCs w:val="20"/>
        </w:rPr>
        <w:t xml:space="preserve"> permettent d’agir contre les occupations illicites des terrains situés en dehors des aires d’accueil aménagées. Cette procédure d’évacuation forcée ne trouve donc pas à s’appliquer pour obtenir l’expulsion des </w:t>
      </w:r>
      <w:r w:rsidR="00F822B1" w:rsidRPr="00C36D62">
        <w:rPr>
          <w:rFonts w:ascii="Marianne" w:hAnsi="Marianne"/>
          <w:sz w:val="20"/>
          <w:szCs w:val="20"/>
        </w:rPr>
        <w:t>personnes</w:t>
      </w:r>
      <w:r w:rsidRPr="00C36D62">
        <w:rPr>
          <w:rFonts w:ascii="Marianne" w:hAnsi="Marianne"/>
          <w:sz w:val="20"/>
          <w:szCs w:val="20"/>
        </w:rPr>
        <w:t xml:space="preserve"> qui stationnent régulièrement sur une aire d’accueil tout en y causant des troubles.</w:t>
      </w:r>
    </w:p>
    <w:p w14:paraId="19B9923A" w14:textId="77777777" w:rsidR="006B679F" w:rsidRPr="00C36D62" w:rsidRDefault="006B679F" w:rsidP="005F1632">
      <w:pPr>
        <w:spacing w:after="120" w:line="240" w:lineRule="auto"/>
        <w:ind w:left="-5" w:right="15"/>
        <w:rPr>
          <w:rFonts w:ascii="Marianne" w:hAnsi="Marianne"/>
          <w:sz w:val="20"/>
          <w:szCs w:val="20"/>
        </w:rPr>
      </w:pPr>
      <w:r w:rsidRPr="00C36D62">
        <w:rPr>
          <w:rFonts w:ascii="Marianne" w:hAnsi="Marianne"/>
          <w:sz w:val="20"/>
          <w:szCs w:val="20"/>
        </w:rPr>
        <w:t>Chaque aire dispose d’un règlement intérieur fixant la durée maximale du séjour, les conditions de stationnement, les modalités de perception du droit d’usage, les obligations des usagers et la graduation des sanctions en cas de manquements et troubles au fonctionnement de l’aire.</w:t>
      </w:r>
    </w:p>
    <w:p w14:paraId="40F4BA41" w14:textId="77777777" w:rsidR="006B679F" w:rsidRPr="00C36D62" w:rsidRDefault="006B679F" w:rsidP="005F1632">
      <w:pPr>
        <w:spacing w:after="120" w:line="240" w:lineRule="auto"/>
        <w:ind w:left="-5" w:right="15"/>
        <w:rPr>
          <w:rFonts w:ascii="Marianne" w:hAnsi="Marianne"/>
          <w:sz w:val="20"/>
          <w:szCs w:val="20"/>
        </w:rPr>
      </w:pPr>
      <w:r w:rsidRPr="00C36D62">
        <w:rPr>
          <w:rFonts w:ascii="Marianne" w:hAnsi="Marianne"/>
          <w:sz w:val="20"/>
          <w:szCs w:val="20"/>
        </w:rPr>
        <w:lastRenderedPageBreak/>
        <w:t>Le règlement type relatif aux aires d’accueil (décret n°2019-1478 du 26/12/2019) stipule au paragraphe VI que « chaque occupant est tenu de respecter le règlement. En cas de manquement à ce règlement ou en cas de trouble grave à l’ordre public, le gestionnaire pourra oralement ou par écrit, s’il le juge nécessaire, mettre en demeure l’occupant de s’y conformer. Si cette mise en demeure n’a pas été suivie d’effet, le gestionnaire pourra résilier la convention d’occupation temporaire.</w:t>
      </w:r>
    </w:p>
    <w:p w14:paraId="40E1910E" w14:textId="77777777" w:rsidR="006B679F" w:rsidRPr="00C36D62" w:rsidRDefault="006B679F" w:rsidP="005F1632">
      <w:pPr>
        <w:spacing w:after="120" w:line="240" w:lineRule="auto"/>
        <w:ind w:left="-5" w:right="15"/>
        <w:rPr>
          <w:rFonts w:ascii="Marianne" w:hAnsi="Marianne"/>
          <w:sz w:val="20"/>
          <w:szCs w:val="20"/>
        </w:rPr>
      </w:pPr>
      <w:r w:rsidRPr="00C36D62">
        <w:rPr>
          <w:rFonts w:ascii="Marianne" w:hAnsi="Marianne"/>
          <w:sz w:val="20"/>
          <w:szCs w:val="20"/>
        </w:rPr>
        <w:t>Pour ce faire, la collectivité saisit le tribunal Administratif d’une demande d’expulsion en référé « mesures utiles » en application de l’article L. 521-3 du code de justice administrative.</w:t>
      </w:r>
    </w:p>
    <w:p w14:paraId="28868E65" w14:textId="77777777" w:rsidR="006B679F" w:rsidRPr="00C36D62" w:rsidRDefault="006B679F" w:rsidP="005F1632">
      <w:pPr>
        <w:spacing w:after="120" w:line="240" w:lineRule="auto"/>
        <w:ind w:left="-5" w:right="15"/>
        <w:rPr>
          <w:rFonts w:ascii="Marianne" w:hAnsi="Marianne"/>
          <w:sz w:val="20"/>
          <w:szCs w:val="20"/>
        </w:rPr>
      </w:pPr>
      <w:r w:rsidRPr="00C36D62">
        <w:rPr>
          <w:rFonts w:ascii="Marianne" w:hAnsi="Marianne"/>
          <w:sz w:val="20"/>
          <w:szCs w:val="20"/>
        </w:rPr>
        <w:t>Doit être joint à la demande d’expulsion, un procès-verbal de police, gendarmerie, d’huissiers ou d’agents assermentés constatant les manquements aux obligations et pour établissement de la liste nominative des contrevenants, ou à défaut, l’immatriculation de leur caravane ou véhicule.</w:t>
      </w:r>
    </w:p>
    <w:p w14:paraId="0C47223A" w14:textId="5EE24B89" w:rsidR="008A4F90" w:rsidRPr="00C36D62" w:rsidRDefault="006B679F" w:rsidP="005F1632">
      <w:pPr>
        <w:spacing w:after="120" w:line="240" w:lineRule="auto"/>
        <w:ind w:left="-5" w:right="15"/>
        <w:rPr>
          <w:rFonts w:ascii="Marianne" w:hAnsi="Marianne"/>
          <w:sz w:val="20"/>
          <w:szCs w:val="20"/>
        </w:rPr>
      </w:pPr>
      <w:r w:rsidRPr="00C36D62">
        <w:rPr>
          <w:rFonts w:ascii="Marianne" w:hAnsi="Marianne"/>
          <w:sz w:val="20"/>
          <w:szCs w:val="20"/>
        </w:rPr>
        <w:t>Pour l’exécution du jugement d’expulsion en cas de refus des personnes concernées de quitter les lieux, le concours de la force publique peut être demandé au Préfet.</w:t>
      </w:r>
    </w:p>
    <w:p w14:paraId="2331A3DD" w14:textId="77777777" w:rsidR="008A4F90" w:rsidRPr="00C36D62" w:rsidRDefault="008A4F90" w:rsidP="005F1632">
      <w:pPr>
        <w:spacing w:after="120" w:line="240" w:lineRule="auto"/>
        <w:ind w:left="174" w:right="0"/>
        <w:rPr>
          <w:rFonts w:ascii="Marianne" w:hAnsi="Marianne"/>
          <w:sz w:val="20"/>
          <w:szCs w:val="20"/>
          <w:u w:val="single" w:color="000000"/>
        </w:rPr>
      </w:pPr>
    </w:p>
    <w:p w14:paraId="42648F04" w14:textId="3BA6E864" w:rsidR="00FB30E5" w:rsidRPr="00C36D62" w:rsidRDefault="00FB30E5" w:rsidP="00CB3D69">
      <w:pPr>
        <w:spacing w:after="120" w:line="240" w:lineRule="auto"/>
        <w:ind w:left="0" w:right="0" w:firstLine="0"/>
        <w:rPr>
          <w:rFonts w:ascii="Marianne" w:hAnsi="Marianne" w:cstheme="minorHAnsi"/>
          <w:b/>
          <w:bCs/>
          <w:color w:val="auto"/>
          <w:sz w:val="20"/>
          <w:szCs w:val="20"/>
          <w:u w:val="single"/>
          <w:shd w:val="clear" w:color="auto" w:fill="FFFFFF"/>
        </w:rPr>
      </w:pPr>
      <w:r w:rsidRPr="00C36D62">
        <w:rPr>
          <w:rFonts w:ascii="Marianne" w:hAnsi="Marianne" w:cstheme="minorHAnsi"/>
          <w:b/>
          <w:bCs/>
          <w:color w:val="auto"/>
          <w:sz w:val="20"/>
          <w:szCs w:val="20"/>
          <w:u w:val="single"/>
          <w:shd w:val="clear" w:color="auto" w:fill="FFFFFF"/>
        </w:rPr>
        <w:t>Définition de l’infraction et de ses éléments constitutifs.</w:t>
      </w:r>
    </w:p>
    <w:p w14:paraId="26CF6B3D" w14:textId="77777777" w:rsidR="00FB30E5" w:rsidRPr="00C36D62" w:rsidRDefault="00FB30E5" w:rsidP="00FB30E5">
      <w:pPr>
        <w:spacing w:after="120" w:line="240" w:lineRule="auto"/>
        <w:ind w:left="174" w:right="0"/>
        <w:rPr>
          <w:rFonts w:ascii="Marianne" w:hAnsi="Marianne"/>
          <w:sz w:val="20"/>
          <w:szCs w:val="20"/>
        </w:rPr>
      </w:pPr>
      <w:r w:rsidRPr="00C36D62">
        <w:rPr>
          <w:rFonts w:ascii="Marianne" w:hAnsi="Marianne"/>
          <w:sz w:val="20"/>
          <w:szCs w:val="20"/>
        </w:rPr>
        <w:t xml:space="preserve">Depuis la loi du 5 juillet 2000, les communes et les EPCI compétents doivent prendre en considération, dès l’élaboration des documents d’urbanisme, les besoins en termes d’accueil ou d’habitat des citoyens français itinérants sur leur territoire. </w:t>
      </w:r>
    </w:p>
    <w:p w14:paraId="7E51D461" w14:textId="77777777" w:rsidR="00FB30E5" w:rsidRPr="00C36D62" w:rsidRDefault="00FB30E5" w:rsidP="00FB30E5">
      <w:pPr>
        <w:spacing w:after="120" w:line="240" w:lineRule="auto"/>
        <w:ind w:left="174" w:right="0"/>
        <w:rPr>
          <w:rFonts w:ascii="Marianne" w:hAnsi="Marianne" w:cstheme="minorHAnsi"/>
          <w:color w:val="auto"/>
          <w:sz w:val="20"/>
          <w:szCs w:val="20"/>
          <w:shd w:val="clear" w:color="auto" w:fill="FFFFFF"/>
        </w:rPr>
      </w:pPr>
      <w:r w:rsidRPr="00C36D62">
        <w:rPr>
          <w:rFonts w:ascii="Marianne" w:hAnsi="Marianne"/>
          <w:sz w:val="20"/>
          <w:szCs w:val="20"/>
        </w:rPr>
        <w:t>L’article L 101-2 du code de l’urbanisme précise les principes généraux assignés aux collectivités publiques. Si celles-ci doivent respecter des objectifs de préservation des espaces agricoles et naturels (qui peuvent être mobilisés pour interdire les stationnements ou installations dans certaines zones), elles sont également chargées de s’assurer de la mixité sociale et de satisfaire les besoins d’habitat de toutes les catégories de population. Cette prise en compte doit donc inclure les citoyens français itinérants.</w:t>
      </w:r>
    </w:p>
    <w:p w14:paraId="244D898C" w14:textId="77777777" w:rsidR="00FB30E5" w:rsidRPr="00C36D62" w:rsidRDefault="00FB30E5" w:rsidP="00FB30E5">
      <w:pPr>
        <w:spacing w:after="120" w:line="240" w:lineRule="auto"/>
        <w:ind w:left="174" w:right="0"/>
        <w:rPr>
          <w:rFonts w:ascii="Marianne" w:hAnsi="Marianne"/>
          <w:sz w:val="20"/>
          <w:szCs w:val="20"/>
        </w:rPr>
      </w:pPr>
    </w:p>
    <w:p w14:paraId="4DA28086" w14:textId="77777777" w:rsidR="00FB30E5" w:rsidRPr="00C36D62" w:rsidRDefault="00FB30E5" w:rsidP="00FB30E5">
      <w:pPr>
        <w:spacing w:after="120" w:line="240" w:lineRule="auto"/>
        <w:ind w:left="174" w:right="0"/>
        <w:rPr>
          <w:rFonts w:ascii="Marianne" w:hAnsi="Marianne"/>
          <w:sz w:val="20"/>
          <w:szCs w:val="20"/>
        </w:rPr>
      </w:pPr>
      <w:r w:rsidRPr="00C36D62">
        <w:rPr>
          <w:rFonts w:ascii="Marianne" w:hAnsi="Marianne"/>
          <w:sz w:val="20"/>
          <w:szCs w:val="20"/>
        </w:rPr>
        <w:t>L’infraction d’occupation illégale du domaine public, est constituée, dès lors que cette occupation sort du cadre légal précité qui prévoit leur accueil.</w:t>
      </w:r>
    </w:p>
    <w:p w14:paraId="54614039" w14:textId="77777777" w:rsidR="008A4F90" w:rsidRPr="00C36D62" w:rsidRDefault="008A4F90" w:rsidP="005F1632">
      <w:pPr>
        <w:spacing w:after="120" w:line="240" w:lineRule="auto"/>
        <w:ind w:left="174" w:right="0"/>
        <w:rPr>
          <w:rFonts w:ascii="Marianne" w:hAnsi="Marianne"/>
          <w:sz w:val="20"/>
          <w:szCs w:val="20"/>
          <w:u w:val="single" w:color="000000"/>
        </w:rPr>
      </w:pPr>
    </w:p>
    <w:p w14:paraId="6CD5CF75" w14:textId="77777777" w:rsidR="008A4F90" w:rsidRPr="00C36D62" w:rsidRDefault="008A4F90" w:rsidP="005F1632">
      <w:pPr>
        <w:spacing w:after="120" w:line="240" w:lineRule="auto"/>
        <w:ind w:left="174" w:right="0"/>
        <w:rPr>
          <w:rFonts w:ascii="Marianne" w:hAnsi="Marianne"/>
          <w:sz w:val="20"/>
          <w:szCs w:val="20"/>
          <w:u w:val="single" w:color="000000"/>
        </w:rPr>
      </w:pPr>
    </w:p>
    <w:p w14:paraId="3B082D2D" w14:textId="77777777" w:rsidR="008A4F90" w:rsidRPr="00C36D62" w:rsidRDefault="008A4F90" w:rsidP="005F1632">
      <w:pPr>
        <w:spacing w:after="120" w:line="240" w:lineRule="auto"/>
        <w:ind w:left="174" w:right="0"/>
        <w:rPr>
          <w:rFonts w:ascii="Marianne" w:hAnsi="Marianne"/>
          <w:sz w:val="20"/>
          <w:szCs w:val="20"/>
          <w:u w:val="single" w:color="000000"/>
        </w:rPr>
      </w:pPr>
    </w:p>
    <w:p w14:paraId="4DA90428" w14:textId="77777777" w:rsidR="008A4F90" w:rsidRPr="00C36D62" w:rsidRDefault="008A4F90" w:rsidP="005F1632">
      <w:pPr>
        <w:spacing w:after="120" w:line="240" w:lineRule="auto"/>
        <w:ind w:left="174" w:right="0"/>
        <w:rPr>
          <w:rFonts w:ascii="Marianne" w:hAnsi="Marianne"/>
          <w:sz w:val="20"/>
          <w:szCs w:val="20"/>
          <w:u w:val="single" w:color="000000"/>
        </w:rPr>
      </w:pPr>
    </w:p>
    <w:p w14:paraId="7897E21B" w14:textId="77777777" w:rsidR="008A4F90" w:rsidRPr="00C36D62" w:rsidRDefault="008A4F90" w:rsidP="005F1632">
      <w:pPr>
        <w:spacing w:after="120" w:line="240" w:lineRule="auto"/>
        <w:ind w:left="174" w:right="0"/>
        <w:rPr>
          <w:rFonts w:ascii="Marianne" w:hAnsi="Marianne"/>
          <w:sz w:val="20"/>
          <w:szCs w:val="20"/>
          <w:u w:val="single" w:color="000000"/>
        </w:rPr>
      </w:pPr>
    </w:p>
    <w:p w14:paraId="358B37D3" w14:textId="77777777" w:rsidR="006B5DF1" w:rsidRPr="00C36D62" w:rsidRDefault="006B5DF1" w:rsidP="005F1632">
      <w:pPr>
        <w:spacing w:after="120" w:line="240" w:lineRule="auto"/>
        <w:ind w:left="174" w:right="0"/>
        <w:rPr>
          <w:rFonts w:ascii="Marianne" w:hAnsi="Marianne"/>
          <w:sz w:val="20"/>
          <w:szCs w:val="20"/>
          <w:u w:val="single" w:color="000000"/>
        </w:rPr>
      </w:pPr>
    </w:p>
    <w:p w14:paraId="6F3717FC" w14:textId="77777777" w:rsidR="006B5DF1" w:rsidRPr="00C36D62" w:rsidRDefault="006B5DF1" w:rsidP="005F1632">
      <w:pPr>
        <w:spacing w:after="120" w:line="240" w:lineRule="auto"/>
        <w:ind w:left="0" w:right="0" w:firstLine="0"/>
        <w:jc w:val="left"/>
        <w:rPr>
          <w:rFonts w:ascii="Marianne" w:hAnsi="Marianne"/>
          <w:sz w:val="20"/>
          <w:szCs w:val="20"/>
          <w:u w:val="single" w:color="000000"/>
        </w:rPr>
      </w:pPr>
      <w:r w:rsidRPr="00C36D62">
        <w:rPr>
          <w:rFonts w:ascii="Marianne" w:hAnsi="Marianne"/>
          <w:sz w:val="20"/>
          <w:szCs w:val="20"/>
          <w:u w:val="single" w:color="000000"/>
        </w:rPr>
        <w:br w:type="page"/>
      </w:r>
    </w:p>
    <w:p w14:paraId="2C7AE0EA" w14:textId="77777777" w:rsidR="006B5DF1" w:rsidRPr="00C36D62" w:rsidRDefault="006B5DF1" w:rsidP="005F1632">
      <w:pPr>
        <w:spacing w:after="120" w:line="240" w:lineRule="auto"/>
        <w:ind w:left="174" w:right="0"/>
        <w:rPr>
          <w:rFonts w:ascii="Marianne" w:hAnsi="Marianne"/>
          <w:sz w:val="20"/>
          <w:szCs w:val="20"/>
          <w:u w:val="single" w:color="000000"/>
        </w:rPr>
      </w:pPr>
    </w:p>
    <w:p w14:paraId="5B875FE0" w14:textId="5CA22F76" w:rsidR="006B5DF1" w:rsidRPr="00C36D62" w:rsidRDefault="006B5DF1" w:rsidP="005F1632">
      <w:pPr>
        <w:spacing w:after="120" w:line="240" w:lineRule="auto"/>
        <w:ind w:left="0" w:right="0" w:firstLine="0"/>
        <w:jc w:val="left"/>
        <w:rPr>
          <w:rFonts w:ascii="Marianne" w:hAnsi="Marianne"/>
          <w:sz w:val="20"/>
          <w:szCs w:val="20"/>
          <w:u w:val="single" w:color="000000"/>
        </w:rPr>
      </w:pPr>
      <w:r w:rsidRPr="00C36D62">
        <w:rPr>
          <w:rFonts w:ascii="Marianne" w:hAnsi="Marianne"/>
          <w:sz w:val="20"/>
          <w:szCs w:val="20"/>
          <w:u w:val="single" w:color="000000"/>
        </w:rPr>
        <w:br w:type="page"/>
      </w:r>
      <w:r w:rsidRPr="00C36D62">
        <w:rPr>
          <w:rFonts w:ascii="Marianne" w:hAnsi="Marianne"/>
          <w:noProof/>
          <w:sz w:val="20"/>
          <w:szCs w:val="20"/>
          <w:u w:val="single" w:color="000000"/>
        </w:rPr>
        <w:lastRenderedPageBreak/>
        <w:drawing>
          <wp:inline distT="0" distB="0" distL="0" distR="0" wp14:anchorId="5503B196" wp14:editId="0908B238">
            <wp:extent cx="5760720" cy="82931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8293100"/>
                    </a:xfrm>
                    <a:prstGeom prst="rect">
                      <a:avLst/>
                    </a:prstGeom>
                  </pic:spPr>
                </pic:pic>
              </a:graphicData>
            </a:graphic>
          </wp:inline>
        </w:drawing>
      </w:r>
    </w:p>
    <w:p w14:paraId="6654FBF1" w14:textId="01134695" w:rsidR="008A4F90" w:rsidRPr="00C36D62" w:rsidRDefault="00797BE5" w:rsidP="005F1632">
      <w:pPr>
        <w:spacing w:after="120" w:line="240" w:lineRule="auto"/>
        <w:ind w:left="174" w:right="0"/>
        <w:rPr>
          <w:rFonts w:ascii="Marianne" w:hAnsi="Marianne"/>
          <w:sz w:val="20"/>
          <w:szCs w:val="20"/>
          <w:u w:val="single" w:color="000000"/>
        </w:rPr>
      </w:pPr>
      <w:r w:rsidRPr="00C36D62">
        <w:rPr>
          <w:rFonts w:ascii="Marianne" w:hAnsi="Marianne"/>
          <w:noProof/>
          <w:sz w:val="20"/>
          <w:szCs w:val="20"/>
        </w:rPr>
        <w:lastRenderedPageBreak/>
        <w:drawing>
          <wp:anchor distT="0" distB="0" distL="114300" distR="114300" simplePos="0" relativeHeight="251658240" behindDoc="0" locked="0" layoutInCell="1" allowOverlap="1" wp14:anchorId="635412DE" wp14:editId="325E9D7C">
            <wp:simplePos x="0" y="0"/>
            <wp:positionH relativeFrom="margin">
              <wp:posOffset>-188595</wp:posOffset>
            </wp:positionH>
            <wp:positionV relativeFrom="paragraph">
              <wp:posOffset>325755</wp:posOffset>
            </wp:positionV>
            <wp:extent cx="6273800" cy="856043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273800" cy="8560435"/>
                    </a:xfrm>
                    <a:prstGeom prst="rect">
                      <a:avLst/>
                    </a:prstGeom>
                  </pic:spPr>
                </pic:pic>
              </a:graphicData>
            </a:graphic>
            <wp14:sizeRelH relativeFrom="margin">
              <wp14:pctWidth>0</wp14:pctWidth>
            </wp14:sizeRelH>
            <wp14:sizeRelV relativeFrom="margin">
              <wp14:pctHeight>0</wp14:pctHeight>
            </wp14:sizeRelV>
          </wp:anchor>
        </w:drawing>
      </w:r>
    </w:p>
    <w:p w14:paraId="268B6C28" w14:textId="0DD5FE67" w:rsidR="0054559D" w:rsidRDefault="00797BE5" w:rsidP="005F1632">
      <w:pPr>
        <w:spacing w:after="120" w:line="240" w:lineRule="auto"/>
        <w:ind w:left="0" w:right="0" w:firstLine="0"/>
        <w:rPr>
          <w:rFonts w:ascii="Marianne" w:hAnsi="Marianne"/>
          <w:noProof/>
          <w:sz w:val="20"/>
          <w:szCs w:val="20"/>
        </w:rPr>
      </w:pPr>
      <w:r w:rsidRPr="00C36D62">
        <w:rPr>
          <w:rFonts w:ascii="Marianne" w:hAnsi="Marianne"/>
          <w:noProof/>
          <w:sz w:val="20"/>
          <w:szCs w:val="20"/>
        </w:rPr>
        <w:lastRenderedPageBreak/>
        <w:drawing>
          <wp:anchor distT="0" distB="0" distL="114300" distR="114300" simplePos="0" relativeHeight="251660288" behindDoc="1" locked="0" layoutInCell="1" allowOverlap="1" wp14:anchorId="6DE232F3" wp14:editId="1CFEF8F5">
            <wp:simplePos x="0" y="0"/>
            <wp:positionH relativeFrom="margin">
              <wp:align>right</wp:align>
            </wp:positionH>
            <wp:positionV relativeFrom="paragraph">
              <wp:posOffset>143510</wp:posOffset>
            </wp:positionV>
            <wp:extent cx="5760720" cy="7469505"/>
            <wp:effectExtent l="0" t="0" r="0" b="0"/>
            <wp:wrapTight wrapText="bothSides">
              <wp:wrapPolygon edited="0">
                <wp:start x="0" y="0"/>
                <wp:lineTo x="0" y="21539"/>
                <wp:lineTo x="21500" y="21539"/>
                <wp:lineTo x="2150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760720" cy="7469505"/>
                    </a:xfrm>
                    <a:prstGeom prst="rect">
                      <a:avLst/>
                    </a:prstGeom>
                  </pic:spPr>
                </pic:pic>
              </a:graphicData>
            </a:graphic>
            <wp14:sizeRelV relativeFrom="margin">
              <wp14:pctHeight>0</wp14:pctHeight>
            </wp14:sizeRelV>
          </wp:anchor>
        </w:drawing>
      </w:r>
    </w:p>
    <w:p w14:paraId="658D788D" w14:textId="2DEFAA9A" w:rsidR="00C22633" w:rsidRDefault="00C22633" w:rsidP="005F1632">
      <w:pPr>
        <w:spacing w:after="120" w:line="240" w:lineRule="auto"/>
        <w:ind w:left="0" w:right="0" w:firstLine="0"/>
        <w:rPr>
          <w:rFonts w:ascii="Marianne" w:hAnsi="Marianne"/>
          <w:noProof/>
          <w:sz w:val="20"/>
          <w:szCs w:val="20"/>
        </w:rPr>
      </w:pPr>
    </w:p>
    <w:p w14:paraId="5E70A884" w14:textId="22FDB03D" w:rsidR="00C22633" w:rsidRDefault="00C22633" w:rsidP="005F1632">
      <w:pPr>
        <w:spacing w:after="120" w:line="240" w:lineRule="auto"/>
        <w:ind w:left="0" w:right="0" w:firstLine="0"/>
        <w:rPr>
          <w:rFonts w:ascii="Marianne" w:hAnsi="Marianne"/>
          <w:noProof/>
          <w:sz w:val="20"/>
          <w:szCs w:val="20"/>
        </w:rPr>
      </w:pPr>
    </w:p>
    <w:p w14:paraId="795ED74B" w14:textId="46764EDC" w:rsidR="00C22633" w:rsidRDefault="00C22633" w:rsidP="005F1632">
      <w:pPr>
        <w:spacing w:after="120" w:line="240" w:lineRule="auto"/>
        <w:ind w:left="0" w:right="0" w:firstLine="0"/>
        <w:rPr>
          <w:rFonts w:ascii="Marianne" w:hAnsi="Marianne"/>
          <w:noProof/>
          <w:sz w:val="20"/>
          <w:szCs w:val="20"/>
        </w:rPr>
      </w:pPr>
    </w:p>
    <w:p w14:paraId="43BC1614" w14:textId="431375C6" w:rsidR="00C22633" w:rsidRPr="00C36D62" w:rsidRDefault="00C22633" w:rsidP="005F1632">
      <w:pPr>
        <w:spacing w:after="120" w:line="240" w:lineRule="auto"/>
        <w:ind w:left="0" w:right="0" w:firstLine="0"/>
        <w:rPr>
          <w:rFonts w:ascii="Marianne" w:hAnsi="Marianne"/>
          <w:sz w:val="20"/>
          <w:szCs w:val="20"/>
          <w:u w:val="single" w:color="000000"/>
        </w:rPr>
      </w:pPr>
      <w:r w:rsidRPr="000B67D4">
        <w:rPr>
          <w:noProof/>
        </w:rPr>
        <w:lastRenderedPageBreak/>
        <w:drawing>
          <wp:anchor distT="0" distB="0" distL="114300" distR="114300" simplePos="0" relativeHeight="251662336" behindDoc="0" locked="0" layoutInCell="1" allowOverlap="1" wp14:anchorId="5C9A06B1" wp14:editId="1BFFA55F">
            <wp:simplePos x="0" y="0"/>
            <wp:positionH relativeFrom="margin">
              <wp:posOffset>0</wp:posOffset>
            </wp:positionH>
            <wp:positionV relativeFrom="paragraph">
              <wp:posOffset>81915</wp:posOffset>
            </wp:positionV>
            <wp:extent cx="5760720" cy="880745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8807450"/>
                    </a:xfrm>
                    <a:prstGeom prst="rect">
                      <a:avLst/>
                    </a:prstGeom>
                  </pic:spPr>
                </pic:pic>
              </a:graphicData>
            </a:graphic>
            <wp14:sizeRelV relativeFrom="margin">
              <wp14:pctHeight>0</wp14:pctHeight>
            </wp14:sizeRelV>
          </wp:anchor>
        </w:drawing>
      </w:r>
    </w:p>
    <w:sectPr w:rsidR="00C22633" w:rsidRPr="00C36D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E0ED8"/>
    <w:multiLevelType w:val="hybridMultilevel"/>
    <w:tmpl w:val="4A16BE32"/>
    <w:lvl w:ilvl="0" w:tplc="35241B10">
      <w:start w:val="1"/>
      <w:numFmt w:val="bullet"/>
      <w:lvlText w:val="–"/>
      <w:lvlJc w:val="left"/>
      <w:pPr>
        <w:ind w:left="687"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A3FA50B0">
      <w:start w:val="1"/>
      <w:numFmt w:val="bullet"/>
      <w:lvlText w:val="o"/>
      <w:lvlJc w:val="left"/>
      <w:pPr>
        <w:ind w:left="182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05A61016">
      <w:start w:val="1"/>
      <w:numFmt w:val="bullet"/>
      <w:lvlText w:val="▪"/>
      <w:lvlJc w:val="left"/>
      <w:pPr>
        <w:ind w:left="254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75EC4890">
      <w:start w:val="1"/>
      <w:numFmt w:val="bullet"/>
      <w:lvlText w:val="•"/>
      <w:lvlJc w:val="left"/>
      <w:pPr>
        <w:ind w:left="326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0F26714E">
      <w:start w:val="1"/>
      <w:numFmt w:val="bullet"/>
      <w:lvlText w:val="o"/>
      <w:lvlJc w:val="left"/>
      <w:pPr>
        <w:ind w:left="398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1B923544">
      <w:start w:val="1"/>
      <w:numFmt w:val="bullet"/>
      <w:lvlText w:val="▪"/>
      <w:lvlJc w:val="left"/>
      <w:pPr>
        <w:ind w:left="470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E2DEDA10">
      <w:start w:val="1"/>
      <w:numFmt w:val="bullet"/>
      <w:lvlText w:val="•"/>
      <w:lvlJc w:val="left"/>
      <w:pPr>
        <w:ind w:left="542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4CCCAF44">
      <w:start w:val="1"/>
      <w:numFmt w:val="bullet"/>
      <w:lvlText w:val="o"/>
      <w:lvlJc w:val="left"/>
      <w:pPr>
        <w:ind w:left="614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360263B0">
      <w:start w:val="1"/>
      <w:numFmt w:val="bullet"/>
      <w:lvlText w:val="▪"/>
      <w:lvlJc w:val="left"/>
      <w:pPr>
        <w:ind w:left="6863"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31C05B83"/>
    <w:multiLevelType w:val="hybridMultilevel"/>
    <w:tmpl w:val="E5D6CF06"/>
    <w:lvl w:ilvl="0" w:tplc="D8B08FEA">
      <w:start w:val="1"/>
      <w:numFmt w:val="bullet"/>
      <w:lvlText w:val="–"/>
      <w:lvlJc w:val="left"/>
      <w:pPr>
        <w:ind w:left="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A4667EA6">
      <w:start w:val="1"/>
      <w:numFmt w:val="bullet"/>
      <w:lvlText w:val="o"/>
      <w:lvlJc w:val="left"/>
      <w:pPr>
        <w:ind w:left="11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2B4EAB4A">
      <w:start w:val="1"/>
      <w:numFmt w:val="bullet"/>
      <w:lvlText w:val="▪"/>
      <w:lvlJc w:val="left"/>
      <w:pPr>
        <w:ind w:left="18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A080ECDC">
      <w:start w:val="1"/>
      <w:numFmt w:val="bullet"/>
      <w:lvlText w:val="•"/>
      <w:lvlJc w:val="left"/>
      <w:pPr>
        <w:ind w:left="257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66D67DEE">
      <w:start w:val="1"/>
      <w:numFmt w:val="bullet"/>
      <w:lvlText w:val="o"/>
      <w:lvlJc w:val="left"/>
      <w:pPr>
        <w:ind w:left="329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B994D33E">
      <w:start w:val="1"/>
      <w:numFmt w:val="bullet"/>
      <w:lvlText w:val="▪"/>
      <w:lvlJc w:val="left"/>
      <w:pPr>
        <w:ind w:left="401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8F7AC8D8">
      <w:start w:val="1"/>
      <w:numFmt w:val="bullet"/>
      <w:lvlText w:val="•"/>
      <w:lvlJc w:val="left"/>
      <w:pPr>
        <w:ind w:left="47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9224F5BE">
      <w:start w:val="1"/>
      <w:numFmt w:val="bullet"/>
      <w:lvlText w:val="o"/>
      <w:lvlJc w:val="left"/>
      <w:pPr>
        <w:ind w:left="54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3DF43948">
      <w:start w:val="1"/>
      <w:numFmt w:val="bullet"/>
      <w:lvlText w:val="▪"/>
      <w:lvlJc w:val="left"/>
      <w:pPr>
        <w:ind w:left="617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57051ADA"/>
    <w:multiLevelType w:val="hybridMultilevel"/>
    <w:tmpl w:val="B7DE354C"/>
    <w:lvl w:ilvl="0" w:tplc="00503E5E">
      <w:start w:val="1"/>
      <w:numFmt w:val="bullet"/>
      <w:lvlText w:val="–"/>
      <w:lvlJc w:val="left"/>
      <w:pPr>
        <w:ind w:left="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16F04752">
      <w:start w:val="1"/>
      <w:numFmt w:val="bullet"/>
      <w:lvlText w:val="o"/>
      <w:lvlJc w:val="left"/>
      <w:pPr>
        <w:ind w:left="11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77F8DC98">
      <w:start w:val="1"/>
      <w:numFmt w:val="bullet"/>
      <w:lvlText w:val="▪"/>
      <w:lvlJc w:val="left"/>
      <w:pPr>
        <w:ind w:left="18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549EA25C">
      <w:start w:val="1"/>
      <w:numFmt w:val="bullet"/>
      <w:lvlText w:val="•"/>
      <w:lvlJc w:val="left"/>
      <w:pPr>
        <w:ind w:left="257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4A3EA9D8">
      <w:start w:val="1"/>
      <w:numFmt w:val="bullet"/>
      <w:lvlText w:val="o"/>
      <w:lvlJc w:val="left"/>
      <w:pPr>
        <w:ind w:left="329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6ABE88DC">
      <w:start w:val="1"/>
      <w:numFmt w:val="bullet"/>
      <w:lvlText w:val="▪"/>
      <w:lvlJc w:val="left"/>
      <w:pPr>
        <w:ind w:left="401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CF406B9A">
      <w:start w:val="1"/>
      <w:numFmt w:val="bullet"/>
      <w:lvlText w:val="•"/>
      <w:lvlJc w:val="left"/>
      <w:pPr>
        <w:ind w:left="473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6ED0BDAA">
      <w:start w:val="1"/>
      <w:numFmt w:val="bullet"/>
      <w:lvlText w:val="o"/>
      <w:lvlJc w:val="left"/>
      <w:pPr>
        <w:ind w:left="545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D02804A4">
      <w:start w:val="1"/>
      <w:numFmt w:val="bullet"/>
      <w:lvlText w:val="▪"/>
      <w:lvlJc w:val="left"/>
      <w:pPr>
        <w:ind w:left="6176"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3" w15:restartNumberingAfterBreak="0">
    <w:nsid w:val="792C4D85"/>
    <w:multiLevelType w:val="hybridMultilevel"/>
    <w:tmpl w:val="110682D8"/>
    <w:lvl w:ilvl="0" w:tplc="3294ABD2">
      <w:numFmt w:val="bullet"/>
      <w:lvlText w:val="-"/>
      <w:lvlJc w:val="left"/>
      <w:pPr>
        <w:ind w:left="524" w:hanging="360"/>
      </w:pPr>
      <w:rPr>
        <w:rFonts w:ascii="Calibri" w:eastAsia="Calibri" w:hAnsi="Calibri" w:cs="Calibri" w:hint="default"/>
      </w:rPr>
    </w:lvl>
    <w:lvl w:ilvl="1" w:tplc="040C0003">
      <w:start w:val="1"/>
      <w:numFmt w:val="bullet"/>
      <w:lvlText w:val="o"/>
      <w:lvlJc w:val="left"/>
      <w:pPr>
        <w:ind w:left="1244" w:hanging="360"/>
      </w:pPr>
      <w:rPr>
        <w:rFonts w:ascii="Courier New" w:hAnsi="Courier New" w:cs="Courier New" w:hint="default"/>
      </w:rPr>
    </w:lvl>
    <w:lvl w:ilvl="2" w:tplc="040C0005" w:tentative="1">
      <w:start w:val="1"/>
      <w:numFmt w:val="bullet"/>
      <w:lvlText w:val=""/>
      <w:lvlJc w:val="left"/>
      <w:pPr>
        <w:ind w:left="1964" w:hanging="360"/>
      </w:pPr>
      <w:rPr>
        <w:rFonts w:ascii="Wingdings" w:hAnsi="Wingdings" w:hint="default"/>
      </w:rPr>
    </w:lvl>
    <w:lvl w:ilvl="3" w:tplc="040C0001" w:tentative="1">
      <w:start w:val="1"/>
      <w:numFmt w:val="bullet"/>
      <w:lvlText w:val=""/>
      <w:lvlJc w:val="left"/>
      <w:pPr>
        <w:ind w:left="2684" w:hanging="360"/>
      </w:pPr>
      <w:rPr>
        <w:rFonts w:ascii="Symbol" w:hAnsi="Symbol" w:hint="default"/>
      </w:rPr>
    </w:lvl>
    <w:lvl w:ilvl="4" w:tplc="040C0003" w:tentative="1">
      <w:start w:val="1"/>
      <w:numFmt w:val="bullet"/>
      <w:lvlText w:val="o"/>
      <w:lvlJc w:val="left"/>
      <w:pPr>
        <w:ind w:left="3404" w:hanging="360"/>
      </w:pPr>
      <w:rPr>
        <w:rFonts w:ascii="Courier New" w:hAnsi="Courier New" w:cs="Courier New" w:hint="default"/>
      </w:rPr>
    </w:lvl>
    <w:lvl w:ilvl="5" w:tplc="040C0005" w:tentative="1">
      <w:start w:val="1"/>
      <w:numFmt w:val="bullet"/>
      <w:lvlText w:val=""/>
      <w:lvlJc w:val="left"/>
      <w:pPr>
        <w:ind w:left="4124" w:hanging="360"/>
      </w:pPr>
      <w:rPr>
        <w:rFonts w:ascii="Wingdings" w:hAnsi="Wingdings" w:hint="default"/>
      </w:rPr>
    </w:lvl>
    <w:lvl w:ilvl="6" w:tplc="040C0001" w:tentative="1">
      <w:start w:val="1"/>
      <w:numFmt w:val="bullet"/>
      <w:lvlText w:val=""/>
      <w:lvlJc w:val="left"/>
      <w:pPr>
        <w:ind w:left="4844" w:hanging="360"/>
      </w:pPr>
      <w:rPr>
        <w:rFonts w:ascii="Symbol" w:hAnsi="Symbol" w:hint="default"/>
      </w:rPr>
    </w:lvl>
    <w:lvl w:ilvl="7" w:tplc="040C0003" w:tentative="1">
      <w:start w:val="1"/>
      <w:numFmt w:val="bullet"/>
      <w:lvlText w:val="o"/>
      <w:lvlJc w:val="left"/>
      <w:pPr>
        <w:ind w:left="5564" w:hanging="360"/>
      </w:pPr>
      <w:rPr>
        <w:rFonts w:ascii="Courier New" w:hAnsi="Courier New" w:cs="Courier New" w:hint="default"/>
      </w:rPr>
    </w:lvl>
    <w:lvl w:ilvl="8" w:tplc="040C0005" w:tentative="1">
      <w:start w:val="1"/>
      <w:numFmt w:val="bullet"/>
      <w:lvlText w:val=""/>
      <w:lvlJc w:val="left"/>
      <w:pPr>
        <w:ind w:left="6284" w:hanging="360"/>
      </w:pPr>
      <w:rPr>
        <w:rFonts w:ascii="Wingdings" w:hAnsi="Wingdings" w:hint="default"/>
      </w:rPr>
    </w:lvl>
  </w:abstractNum>
  <w:abstractNum w:abstractNumId="4" w15:restartNumberingAfterBreak="0">
    <w:nsid w:val="7BCF154B"/>
    <w:multiLevelType w:val="hybridMultilevel"/>
    <w:tmpl w:val="3DF40A46"/>
    <w:lvl w:ilvl="0" w:tplc="9410B460">
      <w:start w:val="1"/>
      <w:numFmt w:val="bullet"/>
      <w:lvlText w:val="–"/>
      <w:lvlJc w:val="left"/>
      <w:pPr>
        <w:ind w:left="2"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6442A22C">
      <w:start w:val="1"/>
      <w:numFmt w:val="bullet"/>
      <w:lvlText w:val="o"/>
      <w:lvlJc w:val="left"/>
      <w:pPr>
        <w:ind w:left="113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F75075DA">
      <w:start w:val="1"/>
      <w:numFmt w:val="bullet"/>
      <w:lvlText w:val="▪"/>
      <w:lvlJc w:val="left"/>
      <w:pPr>
        <w:ind w:left="185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C1928182">
      <w:start w:val="1"/>
      <w:numFmt w:val="bullet"/>
      <w:lvlText w:val="•"/>
      <w:lvlJc w:val="left"/>
      <w:pPr>
        <w:ind w:left="257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D0422E44">
      <w:start w:val="1"/>
      <w:numFmt w:val="bullet"/>
      <w:lvlText w:val="o"/>
      <w:lvlJc w:val="left"/>
      <w:pPr>
        <w:ind w:left="329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2D486E76">
      <w:start w:val="1"/>
      <w:numFmt w:val="bullet"/>
      <w:lvlText w:val="▪"/>
      <w:lvlJc w:val="left"/>
      <w:pPr>
        <w:ind w:left="401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28944360">
      <w:start w:val="1"/>
      <w:numFmt w:val="bullet"/>
      <w:lvlText w:val="•"/>
      <w:lvlJc w:val="left"/>
      <w:pPr>
        <w:ind w:left="473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0B5AD808">
      <w:start w:val="1"/>
      <w:numFmt w:val="bullet"/>
      <w:lvlText w:val="o"/>
      <w:lvlJc w:val="left"/>
      <w:pPr>
        <w:ind w:left="545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49BC0316">
      <w:start w:val="1"/>
      <w:numFmt w:val="bullet"/>
      <w:lvlText w:val="▪"/>
      <w:lvlJc w:val="left"/>
      <w:pPr>
        <w:ind w:left="6178"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90"/>
    <w:rsid w:val="000B67D4"/>
    <w:rsid w:val="002D66B4"/>
    <w:rsid w:val="003141F5"/>
    <w:rsid w:val="0032577F"/>
    <w:rsid w:val="003D15A7"/>
    <w:rsid w:val="00437F08"/>
    <w:rsid w:val="0054559D"/>
    <w:rsid w:val="0058388F"/>
    <w:rsid w:val="005F1632"/>
    <w:rsid w:val="00633992"/>
    <w:rsid w:val="006831B7"/>
    <w:rsid w:val="006B5DF1"/>
    <w:rsid w:val="006B679F"/>
    <w:rsid w:val="00773438"/>
    <w:rsid w:val="00797BE5"/>
    <w:rsid w:val="007C0434"/>
    <w:rsid w:val="00863771"/>
    <w:rsid w:val="008A2E75"/>
    <w:rsid w:val="008A4F90"/>
    <w:rsid w:val="00A60A23"/>
    <w:rsid w:val="00C22633"/>
    <w:rsid w:val="00C36D62"/>
    <w:rsid w:val="00CB3D69"/>
    <w:rsid w:val="00D25820"/>
    <w:rsid w:val="00D51567"/>
    <w:rsid w:val="00E03BC4"/>
    <w:rsid w:val="00E552E2"/>
    <w:rsid w:val="00F437FD"/>
    <w:rsid w:val="00F46DE6"/>
    <w:rsid w:val="00F822B1"/>
    <w:rsid w:val="00FB30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F4961"/>
  <w15:chartTrackingRefBased/>
  <w15:docId w15:val="{A1DC3889-5BAC-4451-B1DD-AB58D530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F90"/>
    <w:pPr>
      <w:spacing w:after="258" w:line="244" w:lineRule="auto"/>
      <w:ind w:left="2115" w:right="2109" w:hanging="10"/>
      <w:jc w:val="both"/>
    </w:pPr>
    <w:rPr>
      <w:rFonts w:ascii="Calibri" w:eastAsia="Calibri" w:hAnsi="Calibri" w:cs="Calibri"/>
      <w:color w:val="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rsid w:val="008A4F90"/>
    <w:pPr>
      <w:spacing w:after="0" w:line="240" w:lineRule="auto"/>
    </w:pPr>
    <w:rPr>
      <w:rFonts w:eastAsiaTheme="minorEastAsia"/>
      <w:lang w:eastAsia="fr-FR"/>
    </w:rPr>
    <w:tblPr>
      <w:tblCellMar>
        <w:top w:w="0" w:type="dxa"/>
        <w:left w:w="0" w:type="dxa"/>
        <w:bottom w:w="0" w:type="dxa"/>
        <w:right w:w="0" w:type="dxa"/>
      </w:tblCellMar>
    </w:tblPr>
  </w:style>
  <w:style w:type="paragraph" w:styleId="Paragraphedeliste">
    <w:name w:val="List Paragraph"/>
    <w:basedOn w:val="Normal"/>
    <w:uiPriority w:val="34"/>
    <w:qFormat/>
    <w:rsid w:val="00C36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2789">
      <w:bodyDiv w:val="1"/>
      <w:marLeft w:val="0"/>
      <w:marRight w:val="0"/>
      <w:marTop w:val="0"/>
      <w:marBottom w:val="0"/>
      <w:divBdr>
        <w:top w:val="none" w:sz="0" w:space="0" w:color="auto"/>
        <w:left w:val="none" w:sz="0" w:space="0" w:color="auto"/>
        <w:bottom w:val="none" w:sz="0" w:space="0" w:color="auto"/>
        <w:right w:val="none" w:sz="0" w:space="0" w:color="auto"/>
      </w:divBdr>
    </w:div>
    <w:div w:id="979925674">
      <w:bodyDiv w:val="1"/>
      <w:marLeft w:val="0"/>
      <w:marRight w:val="0"/>
      <w:marTop w:val="0"/>
      <w:marBottom w:val="0"/>
      <w:divBdr>
        <w:top w:val="none" w:sz="0" w:space="0" w:color="auto"/>
        <w:left w:val="none" w:sz="0" w:space="0" w:color="auto"/>
        <w:bottom w:val="none" w:sz="0" w:space="0" w:color="auto"/>
        <w:right w:val="none" w:sz="0" w:space="0" w:color="auto"/>
      </w:divBdr>
    </w:div>
    <w:div w:id="159346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9927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MinisteredelaJustice</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GAUTIER Caroline</dc:creator>
  <cp:keywords/>
  <dc:description/>
  <cp:lastModifiedBy>GAUTIER Caroline</cp:lastModifiedBy>
  <cp:revision>2</cp:revision>
  <dcterms:created xsi:type="dcterms:W3CDTF">2024-03-25T13:03:00Z</dcterms:created>
  <dcterms:modified xsi:type="dcterms:W3CDTF">2024-03-25T13:03:00Z</dcterms:modified>
</cp:coreProperties>
</file>